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57E3" w14:textId="77777777" w:rsidR="00656D68" w:rsidRDefault="00656D68">
      <w:pPr>
        <w:ind w:left="0" w:firstLine="567"/>
        <w:rPr>
          <w:b/>
          <w:color w:val="312459"/>
          <w:sz w:val="12"/>
          <w:szCs w:val="12"/>
        </w:rPr>
      </w:pPr>
    </w:p>
    <w:p w14:paraId="6668A702" w14:textId="77777777" w:rsidR="00656D68" w:rsidRDefault="00001267">
      <w:pPr>
        <w:ind w:left="0" w:firstLine="567"/>
        <w:jc w:val="center"/>
        <w:rPr>
          <w:b/>
          <w:sz w:val="22"/>
          <w:szCs w:val="22"/>
        </w:rPr>
      </w:pPr>
      <w:r>
        <w:rPr>
          <w:b/>
          <w:color w:val="312459"/>
          <w:sz w:val="32"/>
          <w:szCs w:val="32"/>
        </w:rPr>
        <w:t xml:space="preserve">Responsible </w:t>
      </w:r>
      <w:r w:rsidR="00117244">
        <w:rPr>
          <w:b/>
          <w:color w:val="312459"/>
          <w:sz w:val="32"/>
          <w:szCs w:val="32"/>
        </w:rPr>
        <w:t xml:space="preserve">Supply Chain </w:t>
      </w:r>
      <w:r w:rsidR="00FA1904">
        <w:rPr>
          <w:b/>
          <w:color w:val="312459"/>
          <w:sz w:val="32"/>
          <w:szCs w:val="32"/>
        </w:rPr>
        <w:t>Policy</w:t>
      </w:r>
    </w:p>
    <w:p w14:paraId="57DBE831" w14:textId="77777777" w:rsidR="00656D68" w:rsidRDefault="00FA1904">
      <w:pPr>
        <w:ind w:left="0" w:firstLine="567"/>
        <w:jc w:val="center"/>
        <w:rPr>
          <w:i/>
          <w:color w:val="808080"/>
          <w:sz w:val="24"/>
          <w:szCs w:val="24"/>
        </w:rPr>
      </w:pPr>
      <w:r w:rsidRPr="00410291">
        <w:rPr>
          <w:i/>
          <w:color w:val="808080"/>
          <w:sz w:val="24"/>
          <w:szCs w:val="24"/>
        </w:rPr>
        <w:t>Sample</w:t>
      </w:r>
      <w:r>
        <w:rPr>
          <w:i/>
          <w:color w:val="808080"/>
          <w:sz w:val="24"/>
          <w:szCs w:val="24"/>
        </w:rPr>
        <w:t xml:space="preserve"> Policy</w:t>
      </w:r>
    </w:p>
    <w:p w14:paraId="2A67924B" w14:textId="77777777" w:rsidR="00656D68" w:rsidRDefault="00656D68">
      <w:pPr>
        <w:ind w:left="0" w:firstLine="567"/>
        <w:jc w:val="center"/>
        <w:rPr>
          <w:sz w:val="22"/>
          <w:szCs w:val="22"/>
        </w:rPr>
      </w:pPr>
    </w:p>
    <w:tbl>
      <w:tblPr>
        <w:tblStyle w:val="a"/>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656D68" w14:paraId="72A21C13" w14:textId="77777777" w:rsidTr="00117244">
        <w:tc>
          <w:tcPr>
            <w:tcW w:w="9288" w:type="dxa"/>
            <w:shd w:val="clear" w:color="auto" w:fill="E4D2F2"/>
          </w:tcPr>
          <w:p w14:paraId="62640FB3" w14:textId="0F1B745A" w:rsidR="00656D68" w:rsidRDefault="00FA1904" w:rsidP="00117244">
            <w:pPr>
              <w:ind w:left="0"/>
              <w:jc w:val="both"/>
            </w:pPr>
            <w:r>
              <w:rPr>
                <w:b/>
              </w:rPr>
              <w:t>Instructions:</w:t>
            </w:r>
            <w:r>
              <w:rPr>
                <w:i/>
              </w:rPr>
              <w:t xml:space="preserve"> </w:t>
            </w:r>
            <w:r>
              <w:t xml:space="preserve">Below you can find a </w:t>
            </w:r>
            <w:r w:rsidR="00410291">
              <w:t>sample</w:t>
            </w:r>
            <w:r>
              <w:t xml:space="preserve"> </w:t>
            </w:r>
            <w:r w:rsidR="00001267">
              <w:t xml:space="preserve">Responsible </w:t>
            </w:r>
            <w:r w:rsidR="00117244">
              <w:t xml:space="preserve">Supply Chain </w:t>
            </w:r>
            <w:r w:rsidR="00001267">
              <w:t>P</w:t>
            </w:r>
            <w:r>
              <w:t xml:space="preserve">olicy. If you decide to use it as a template for your own policy, fill it out with your own </w:t>
            </w:r>
            <w:r w:rsidR="00FE3516">
              <w:t xml:space="preserve">business </w:t>
            </w:r>
            <w:r>
              <w:t xml:space="preserve">information and be sure to align the policy as much as possible with </w:t>
            </w:r>
            <w:r w:rsidR="00410291">
              <w:t>your</w:t>
            </w:r>
            <w:r>
              <w:t xml:space="preserve"> </w:t>
            </w:r>
            <w:r w:rsidR="00117244">
              <w:t xml:space="preserve">business </w:t>
            </w:r>
            <w:r>
              <w:t xml:space="preserve">structure and processes. </w:t>
            </w:r>
          </w:p>
          <w:p w14:paraId="33BB38AB" w14:textId="77777777" w:rsidR="00410749" w:rsidRDefault="00410749" w:rsidP="00117244">
            <w:pPr>
              <w:ind w:left="0"/>
              <w:jc w:val="both"/>
            </w:pPr>
          </w:p>
          <w:p w14:paraId="3079CE84" w14:textId="3E898229" w:rsidR="00BB4E6C" w:rsidRPr="005B75C5" w:rsidRDefault="00BB4E6C" w:rsidP="00117244">
            <w:pPr>
              <w:ind w:left="0"/>
              <w:jc w:val="both"/>
              <w:rPr>
                <w:lang w:val="en-US"/>
              </w:rPr>
            </w:pPr>
            <w:r>
              <w:rPr>
                <w:lang w:val="en-US"/>
              </w:rPr>
              <w:t>In this sample Policy, you will find reference to the “</w:t>
            </w:r>
            <w:r w:rsidRPr="005B75C5">
              <w:rPr>
                <w:lang w:val="en-US"/>
              </w:rPr>
              <w:t>OECD Due Diligence Guidance for Responsible Supply Chains of Minerals from Conflict-Affected and High-Risk Areas</w:t>
            </w:r>
            <w:r>
              <w:rPr>
                <w:lang w:val="en-US"/>
              </w:rPr>
              <w:t>” or “OECD Guidance”.</w:t>
            </w:r>
            <w:r w:rsidRPr="005B75C5">
              <w:rPr>
                <w:lang w:val="en-US"/>
              </w:rPr>
              <w:t xml:space="preserve"> </w:t>
            </w:r>
            <w:r>
              <w:rPr>
                <w:lang w:val="en-US"/>
              </w:rPr>
              <w:t>This document</w:t>
            </w:r>
            <w:r w:rsidRPr="005B75C5">
              <w:rPr>
                <w:lang w:val="en-US"/>
              </w:rPr>
              <w:t xml:space="preserve"> represents the globally recognized framework </w:t>
            </w:r>
            <w:r>
              <w:rPr>
                <w:lang w:val="en-US"/>
              </w:rPr>
              <w:t>for</w:t>
            </w:r>
            <w:r w:rsidR="000F00B1">
              <w:rPr>
                <w:lang w:val="en-US"/>
              </w:rPr>
              <w:t xml:space="preserve"> sourcing responsibly and carrying out due diligence</w:t>
            </w:r>
            <w:r>
              <w:rPr>
                <w:lang w:val="en-US"/>
              </w:rPr>
              <w:t xml:space="preserve">. It is from this </w:t>
            </w:r>
            <w:r w:rsidR="00117244">
              <w:rPr>
                <w:lang w:val="en-US"/>
              </w:rPr>
              <w:t>G</w:t>
            </w:r>
            <w:r>
              <w:rPr>
                <w:lang w:val="en-US"/>
              </w:rPr>
              <w:t xml:space="preserve">uidance that we extracted the 5 steps for due diligence you have learned about through this module. </w:t>
            </w:r>
            <w:r w:rsidRPr="005B75C5">
              <w:rPr>
                <w:lang w:val="en-US"/>
              </w:rPr>
              <w:t>To make sure that your due diligence process is taken seriously by your customers and other stakeholders, we recommend that you try to align your due diligence process to the OECD</w:t>
            </w:r>
            <w:r>
              <w:rPr>
                <w:lang w:val="en-US"/>
              </w:rPr>
              <w:t xml:space="preserve"> Guidance as much as possible. However, you are free to adapt this sample policy to your business needs.</w:t>
            </w:r>
          </w:p>
          <w:p w14:paraId="4BF461FD" w14:textId="77777777" w:rsidR="00BB4E6C" w:rsidRDefault="00BB4E6C" w:rsidP="00117244">
            <w:pPr>
              <w:ind w:left="0"/>
              <w:jc w:val="both"/>
              <w:rPr>
                <w:i/>
              </w:rPr>
            </w:pPr>
          </w:p>
          <w:p w14:paraId="795FFE0C" w14:textId="703A6741" w:rsidR="0083496A" w:rsidRPr="0083496A" w:rsidRDefault="00117244" w:rsidP="00117244">
            <w:pPr>
              <w:ind w:left="0"/>
              <w:jc w:val="both"/>
              <w:rPr>
                <w:iCs/>
              </w:rPr>
            </w:pPr>
            <w:r>
              <w:rPr>
                <w:iCs/>
              </w:rPr>
              <w:t xml:space="preserve">In line with the OECD Guidance, this sample policy is focused on the responsible sourcing of minerals from Conflict-Affected and High-Risk Areas, meaning, </w:t>
            </w:r>
            <w:r w:rsidRPr="00117244">
              <w:rPr>
                <w:iCs/>
              </w:rPr>
              <w:t>from areas characterised by the presence of armed conflict, widespread violence, or other risks of harm to people.</w:t>
            </w:r>
            <w:r>
              <w:rPr>
                <w:iCs/>
              </w:rPr>
              <w:t xml:space="preserve"> However, you can extend your policy and due diligence </w:t>
            </w:r>
            <w:proofErr w:type="gramStart"/>
            <w:r>
              <w:rPr>
                <w:iCs/>
              </w:rPr>
              <w:t>process</w:t>
            </w:r>
            <w:proofErr w:type="gramEnd"/>
            <w:r>
              <w:rPr>
                <w:iCs/>
              </w:rPr>
              <w:t xml:space="preserve"> so they apply to other types of supply chains and a wider set of risks.</w:t>
            </w:r>
          </w:p>
        </w:tc>
      </w:tr>
    </w:tbl>
    <w:p w14:paraId="501BFFB6" w14:textId="77777777" w:rsidR="00656D68" w:rsidRDefault="00656D68">
      <w:pPr>
        <w:ind w:left="0" w:firstLine="567"/>
      </w:pPr>
    </w:p>
    <w:p w14:paraId="5D2DB7DE" w14:textId="573ABA36" w:rsidR="00AD2B65" w:rsidRPr="0083496A" w:rsidRDefault="0083496A" w:rsidP="0083496A">
      <w:pPr>
        <w:ind w:left="0"/>
        <w:jc w:val="both"/>
        <w:rPr>
          <w:rFonts w:asciiTheme="majorHAnsi" w:hAnsiTheme="majorHAnsi" w:cstheme="majorHAnsi"/>
          <w:sz w:val="22"/>
          <w:szCs w:val="22"/>
        </w:rPr>
      </w:pPr>
      <w:r>
        <w:rPr>
          <w:rFonts w:asciiTheme="majorHAnsi" w:hAnsiTheme="majorHAnsi" w:cstheme="majorHAnsi"/>
          <w:sz w:val="22"/>
          <w:szCs w:val="22"/>
        </w:rPr>
        <w:t xml:space="preserve">At </w:t>
      </w:r>
      <w:r w:rsidRPr="0083496A">
        <w:rPr>
          <w:rFonts w:asciiTheme="majorHAnsi" w:hAnsiTheme="majorHAnsi" w:cstheme="majorHAnsi"/>
          <w:b/>
          <w:sz w:val="22"/>
          <w:szCs w:val="22"/>
        </w:rPr>
        <w:t>[NAME OF BUSINESS]</w:t>
      </w:r>
      <w:r>
        <w:rPr>
          <w:rFonts w:asciiTheme="majorHAnsi" w:hAnsiTheme="majorHAnsi" w:cstheme="majorHAnsi"/>
          <w:bCs/>
          <w:sz w:val="22"/>
          <w:szCs w:val="22"/>
        </w:rPr>
        <w:t>, we</w:t>
      </w:r>
      <w:r w:rsidRPr="0083496A">
        <w:rPr>
          <w:rFonts w:asciiTheme="majorHAnsi" w:hAnsiTheme="majorHAnsi" w:cstheme="majorHAnsi"/>
          <w:sz w:val="22"/>
          <w:szCs w:val="22"/>
        </w:rPr>
        <w:t xml:space="preserve"> </w:t>
      </w:r>
      <w:r>
        <w:rPr>
          <w:rFonts w:asciiTheme="majorHAnsi" w:hAnsiTheme="majorHAnsi" w:cstheme="majorHAnsi"/>
          <w:sz w:val="22"/>
          <w:szCs w:val="22"/>
        </w:rPr>
        <w:t>r</w:t>
      </w:r>
      <w:r w:rsidR="00B160FD" w:rsidRPr="0083496A">
        <w:rPr>
          <w:rFonts w:asciiTheme="majorHAnsi" w:hAnsiTheme="majorHAnsi" w:cstheme="majorHAnsi"/>
          <w:sz w:val="22"/>
          <w:szCs w:val="22"/>
        </w:rPr>
        <w:t>ecognis</w:t>
      </w:r>
      <w:r>
        <w:rPr>
          <w:rFonts w:asciiTheme="majorHAnsi" w:hAnsiTheme="majorHAnsi" w:cstheme="majorHAnsi"/>
          <w:sz w:val="22"/>
          <w:szCs w:val="22"/>
        </w:rPr>
        <w:t>e</w:t>
      </w:r>
      <w:r w:rsidR="00B160FD" w:rsidRPr="0083496A">
        <w:rPr>
          <w:rFonts w:asciiTheme="majorHAnsi" w:hAnsiTheme="majorHAnsi" w:cstheme="majorHAnsi"/>
          <w:sz w:val="22"/>
          <w:szCs w:val="22"/>
        </w:rPr>
        <w:t xml:space="preserve"> that risks of significant </w:t>
      </w:r>
      <w:r w:rsidR="00AD2B65" w:rsidRPr="0083496A">
        <w:rPr>
          <w:rFonts w:asciiTheme="majorHAnsi" w:hAnsiTheme="majorHAnsi" w:cstheme="majorHAnsi"/>
          <w:sz w:val="22"/>
          <w:szCs w:val="22"/>
        </w:rPr>
        <w:t xml:space="preserve">negative </w:t>
      </w:r>
      <w:r w:rsidR="00B160FD" w:rsidRPr="0083496A">
        <w:rPr>
          <w:rFonts w:asciiTheme="majorHAnsi" w:hAnsiTheme="majorHAnsi" w:cstheme="majorHAnsi"/>
          <w:sz w:val="22"/>
          <w:szCs w:val="22"/>
        </w:rPr>
        <w:t xml:space="preserve">impacts may be associated with </w:t>
      </w:r>
      <w:r w:rsidR="00EA5010" w:rsidRPr="0083496A">
        <w:rPr>
          <w:rFonts w:asciiTheme="majorHAnsi" w:hAnsiTheme="majorHAnsi" w:cstheme="majorHAnsi"/>
          <w:sz w:val="22"/>
          <w:szCs w:val="22"/>
        </w:rPr>
        <w:t>the gemstones and jewellery industry</w:t>
      </w:r>
      <w:r w:rsidR="00AD2B65" w:rsidRPr="0083496A">
        <w:rPr>
          <w:rFonts w:asciiTheme="majorHAnsi" w:hAnsiTheme="majorHAnsi" w:cstheme="majorHAnsi"/>
          <w:sz w:val="22"/>
          <w:szCs w:val="22"/>
        </w:rPr>
        <w:t xml:space="preserve"> throughout all stages of the supply chain</w:t>
      </w:r>
      <w:r>
        <w:rPr>
          <w:rFonts w:asciiTheme="majorHAnsi" w:hAnsiTheme="majorHAnsi" w:cstheme="majorHAnsi"/>
          <w:sz w:val="22"/>
          <w:szCs w:val="22"/>
        </w:rPr>
        <w:t xml:space="preserve">. For this reason, we </w:t>
      </w:r>
      <w:r w:rsidR="00AD2B65" w:rsidRPr="0083496A">
        <w:rPr>
          <w:rFonts w:asciiTheme="majorHAnsi" w:hAnsiTheme="majorHAnsi" w:cstheme="majorHAnsi"/>
          <w:sz w:val="22"/>
          <w:szCs w:val="22"/>
        </w:rPr>
        <w:t xml:space="preserve">commit to </w:t>
      </w:r>
      <w:r w:rsidR="00117244">
        <w:rPr>
          <w:rFonts w:asciiTheme="majorHAnsi" w:hAnsiTheme="majorHAnsi" w:cstheme="majorHAnsi"/>
          <w:sz w:val="22"/>
          <w:szCs w:val="22"/>
        </w:rPr>
        <w:t xml:space="preserve">managing </w:t>
      </w:r>
      <w:r>
        <w:rPr>
          <w:rFonts w:asciiTheme="majorHAnsi" w:hAnsiTheme="majorHAnsi" w:cstheme="majorHAnsi"/>
          <w:sz w:val="22"/>
          <w:szCs w:val="22"/>
        </w:rPr>
        <w:t>our</w:t>
      </w:r>
      <w:r w:rsidR="00117244">
        <w:rPr>
          <w:rFonts w:asciiTheme="majorHAnsi" w:hAnsiTheme="majorHAnsi" w:cstheme="majorHAnsi"/>
          <w:sz w:val="22"/>
          <w:szCs w:val="22"/>
        </w:rPr>
        <w:t xml:space="preserve"> supply chain</w:t>
      </w:r>
      <w:r w:rsidR="00AD2B65" w:rsidRPr="0083496A">
        <w:rPr>
          <w:rFonts w:asciiTheme="majorHAnsi" w:hAnsiTheme="majorHAnsi" w:cstheme="majorHAnsi"/>
          <w:sz w:val="22"/>
          <w:szCs w:val="22"/>
        </w:rPr>
        <w:t xml:space="preserve"> responsibly, in particular </w:t>
      </w:r>
      <w:r w:rsidR="00117244">
        <w:rPr>
          <w:rFonts w:asciiTheme="majorHAnsi" w:hAnsiTheme="majorHAnsi" w:cstheme="majorHAnsi"/>
          <w:sz w:val="22"/>
          <w:szCs w:val="22"/>
        </w:rPr>
        <w:t xml:space="preserve">when sourcing minerals </w:t>
      </w:r>
      <w:r w:rsidR="00AD2B65" w:rsidRPr="0083496A">
        <w:rPr>
          <w:rFonts w:asciiTheme="majorHAnsi" w:hAnsiTheme="majorHAnsi" w:cstheme="majorHAnsi"/>
          <w:sz w:val="22"/>
          <w:szCs w:val="22"/>
        </w:rPr>
        <w:t>from C</w:t>
      </w:r>
      <w:r w:rsidR="00B160FD" w:rsidRPr="0083496A">
        <w:rPr>
          <w:rFonts w:asciiTheme="majorHAnsi" w:hAnsiTheme="majorHAnsi" w:cstheme="majorHAnsi"/>
          <w:sz w:val="22"/>
          <w:szCs w:val="22"/>
        </w:rPr>
        <w:t>onflict-</w:t>
      </w:r>
      <w:r w:rsidR="00AD2B65" w:rsidRPr="0083496A">
        <w:rPr>
          <w:rFonts w:asciiTheme="majorHAnsi" w:hAnsiTheme="majorHAnsi" w:cstheme="majorHAnsi"/>
          <w:sz w:val="22"/>
          <w:szCs w:val="22"/>
        </w:rPr>
        <w:t>A</w:t>
      </w:r>
      <w:r w:rsidR="00B160FD" w:rsidRPr="0083496A">
        <w:rPr>
          <w:rFonts w:asciiTheme="majorHAnsi" w:hAnsiTheme="majorHAnsi" w:cstheme="majorHAnsi"/>
          <w:sz w:val="22"/>
          <w:szCs w:val="22"/>
        </w:rPr>
        <w:t xml:space="preserve">ffected and </w:t>
      </w:r>
      <w:r w:rsidR="00AD2B65" w:rsidRPr="0083496A">
        <w:rPr>
          <w:rFonts w:asciiTheme="majorHAnsi" w:hAnsiTheme="majorHAnsi" w:cstheme="majorHAnsi"/>
          <w:sz w:val="22"/>
          <w:szCs w:val="22"/>
        </w:rPr>
        <w:t>H</w:t>
      </w:r>
      <w:r w:rsidR="00B160FD" w:rsidRPr="0083496A">
        <w:rPr>
          <w:rFonts w:asciiTheme="majorHAnsi" w:hAnsiTheme="majorHAnsi" w:cstheme="majorHAnsi"/>
          <w:sz w:val="22"/>
          <w:szCs w:val="22"/>
        </w:rPr>
        <w:t>igh-</w:t>
      </w:r>
      <w:r w:rsidR="00AD2B65" w:rsidRPr="0083496A">
        <w:rPr>
          <w:rFonts w:asciiTheme="majorHAnsi" w:hAnsiTheme="majorHAnsi" w:cstheme="majorHAnsi"/>
          <w:sz w:val="22"/>
          <w:szCs w:val="22"/>
        </w:rPr>
        <w:t>R</w:t>
      </w:r>
      <w:r w:rsidR="00B160FD" w:rsidRPr="0083496A">
        <w:rPr>
          <w:rFonts w:asciiTheme="majorHAnsi" w:hAnsiTheme="majorHAnsi" w:cstheme="majorHAnsi"/>
          <w:sz w:val="22"/>
          <w:szCs w:val="22"/>
        </w:rPr>
        <w:t xml:space="preserve">isk </w:t>
      </w:r>
      <w:r w:rsidR="00AD2B65" w:rsidRPr="0083496A">
        <w:rPr>
          <w:rFonts w:asciiTheme="majorHAnsi" w:hAnsiTheme="majorHAnsi" w:cstheme="majorHAnsi"/>
          <w:sz w:val="22"/>
          <w:szCs w:val="22"/>
        </w:rPr>
        <w:t>A</w:t>
      </w:r>
      <w:r w:rsidR="00B160FD" w:rsidRPr="0083496A">
        <w:rPr>
          <w:rFonts w:asciiTheme="majorHAnsi" w:hAnsiTheme="majorHAnsi" w:cstheme="majorHAnsi"/>
          <w:sz w:val="22"/>
          <w:szCs w:val="22"/>
        </w:rPr>
        <w:t>reas</w:t>
      </w:r>
      <w:r w:rsidR="00AD2B65" w:rsidRPr="0083496A">
        <w:rPr>
          <w:rFonts w:asciiTheme="majorHAnsi" w:hAnsiTheme="majorHAnsi" w:cstheme="majorHAnsi"/>
          <w:sz w:val="22"/>
          <w:szCs w:val="22"/>
        </w:rPr>
        <w:t>.</w:t>
      </w:r>
    </w:p>
    <w:p w14:paraId="3DF395D1" w14:textId="77777777" w:rsidR="00AD2B65" w:rsidRPr="0083496A" w:rsidRDefault="00AD2B65" w:rsidP="0083496A">
      <w:pPr>
        <w:ind w:left="0"/>
        <w:jc w:val="both"/>
        <w:rPr>
          <w:rFonts w:asciiTheme="majorHAnsi" w:hAnsiTheme="majorHAnsi" w:cstheme="majorHAnsi"/>
          <w:sz w:val="22"/>
          <w:szCs w:val="22"/>
        </w:rPr>
      </w:pPr>
    </w:p>
    <w:p w14:paraId="44C7486B" w14:textId="07BC18B9" w:rsidR="00B160FD" w:rsidRPr="0083496A" w:rsidRDefault="00AD2B65" w:rsidP="0083496A">
      <w:pPr>
        <w:ind w:left="0"/>
        <w:jc w:val="both"/>
        <w:rPr>
          <w:rFonts w:asciiTheme="majorHAnsi" w:hAnsiTheme="majorHAnsi" w:cstheme="majorHAnsi"/>
          <w:b/>
          <w:sz w:val="22"/>
          <w:szCs w:val="22"/>
        </w:rPr>
      </w:pPr>
      <w:r w:rsidRPr="0083496A">
        <w:rPr>
          <w:rFonts w:asciiTheme="majorHAnsi" w:hAnsiTheme="majorHAnsi" w:cstheme="majorHAnsi"/>
          <w:sz w:val="22"/>
          <w:szCs w:val="22"/>
        </w:rPr>
        <w:t>Through this Responsible Sourcing Policy</w:t>
      </w:r>
      <w:r w:rsidR="00B160FD" w:rsidRPr="0083496A">
        <w:rPr>
          <w:rFonts w:asciiTheme="majorHAnsi" w:hAnsiTheme="majorHAnsi" w:cstheme="majorHAnsi"/>
          <w:sz w:val="22"/>
          <w:szCs w:val="22"/>
        </w:rPr>
        <w:t xml:space="preserve">, </w:t>
      </w:r>
      <w:r w:rsidRPr="0083496A">
        <w:rPr>
          <w:rFonts w:asciiTheme="majorHAnsi" w:hAnsiTheme="majorHAnsi" w:cstheme="majorHAnsi"/>
          <w:sz w:val="22"/>
          <w:szCs w:val="22"/>
        </w:rPr>
        <w:t xml:space="preserve">we commit to </w:t>
      </w:r>
      <w:r w:rsidR="00B160FD" w:rsidRPr="0083496A">
        <w:rPr>
          <w:rFonts w:asciiTheme="majorHAnsi" w:hAnsiTheme="majorHAnsi" w:cstheme="majorHAnsi"/>
          <w:sz w:val="22"/>
          <w:szCs w:val="22"/>
        </w:rPr>
        <w:t>respect</w:t>
      </w:r>
      <w:r w:rsidRPr="0083496A">
        <w:rPr>
          <w:rFonts w:asciiTheme="majorHAnsi" w:hAnsiTheme="majorHAnsi" w:cstheme="majorHAnsi"/>
          <w:sz w:val="22"/>
          <w:szCs w:val="22"/>
        </w:rPr>
        <w:t>ing</w:t>
      </w:r>
      <w:r w:rsidR="00B160FD" w:rsidRPr="0083496A">
        <w:rPr>
          <w:rFonts w:asciiTheme="majorHAnsi" w:hAnsiTheme="majorHAnsi" w:cstheme="majorHAnsi"/>
          <w:sz w:val="22"/>
          <w:szCs w:val="22"/>
        </w:rPr>
        <w:t xml:space="preserve"> human rights and</w:t>
      </w:r>
      <w:r w:rsidRPr="0083496A">
        <w:rPr>
          <w:rFonts w:asciiTheme="majorHAnsi" w:hAnsiTheme="majorHAnsi" w:cstheme="majorHAnsi"/>
          <w:sz w:val="22"/>
          <w:szCs w:val="22"/>
        </w:rPr>
        <w:t xml:space="preserve"> </w:t>
      </w:r>
      <w:r w:rsidR="00B160FD" w:rsidRPr="0083496A">
        <w:rPr>
          <w:rFonts w:asciiTheme="majorHAnsi" w:hAnsiTheme="majorHAnsi" w:cstheme="majorHAnsi"/>
          <w:sz w:val="22"/>
          <w:szCs w:val="22"/>
        </w:rPr>
        <w:t>to refraining from any action which contributes to the financing of conflict</w:t>
      </w:r>
      <w:r w:rsidRPr="0083496A">
        <w:rPr>
          <w:rFonts w:asciiTheme="majorHAnsi" w:hAnsiTheme="majorHAnsi" w:cstheme="majorHAnsi"/>
          <w:sz w:val="22"/>
          <w:szCs w:val="22"/>
        </w:rPr>
        <w:t>,</w:t>
      </w:r>
      <w:r w:rsidR="00B160FD" w:rsidRPr="0083496A">
        <w:rPr>
          <w:rFonts w:asciiTheme="majorHAnsi" w:hAnsiTheme="majorHAnsi" w:cstheme="majorHAnsi"/>
          <w:sz w:val="22"/>
          <w:szCs w:val="22"/>
        </w:rPr>
        <w:t xml:space="preserve"> </w:t>
      </w:r>
      <w:r w:rsidRPr="0083496A">
        <w:rPr>
          <w:rFonts w:asciiTheme="majorHAnsi" w:hAnsiTheme="majorHAnsi" w:cstheme="majorHAnsi"/>
          <w:sz w:val="22"/>
          <w:szCs w:val="22"/>
        </w:rPr>
        <w:t>including through</w:t>
      </w:r>
      <w:r w:rsidR="00B160FD" w:rsidRPr="0083496A">
        <w:rPr>
          <w:rFonts w:asciiTheme="majorHAnsi" w:hAnsiTheme="majorHAnsi" w:cstheme="majorHAnsi"/>
          <w:sz w:val="22"/>
          <w:szCs w:val="22"/>
        </w:rPr>
        <w:t xml:space="preserve"> compl</w:t>
      </w:r>
      <w:r w:rsidRPr="0083496A">
        <w:rPr>
          <w:rFonts w:asciiTheme="majorHAnsi" w:hAnsiTheme="majorHAnsi" w:cstheme="majorHAnsi"/>
          <w:sz w:val="22"/>
          <w:szCs w:val="22"/>
        </w:rPr>
        <w:t>iance</w:t>
      </w:r>
      <w:r w:rsidR="00B160FD" w:rsidRPr="0083496A">
        <w:rPr>
          <w:rFonts w:asciiTheme="majorHAnsi" w:hAnsiTheme="majorHAnsi" w:cstheme="majorHAnsi"/>
          <w:sz w:val="22"/>
          <w:szCs w:val="22"/>
        </w:rPr>
        <w:t xml:space="preserve"> with relevant United Nations sanctions resolutions or, where applicable, domestic laws implementing such resolutions.</w:t>
      </w:r>
      <w:r w:rsidR="00B160FD" w:rsidRPr="0083496A">
        <w:rPr>
          <w:rFonts w:asciiTheme="majorHAnsi" w:hAnsiTheme="majorHAnsi" w:cstheme="majorHAnsi"/>
          <w:b/>
          <w:sz w:val="22"/>
          <w:szCs w:val="22"/>
        </w:rPr>
        <w:t xml:space="preserve"> </w:t>
      </w:r>
    </w:p>
    <w:p w14:paraId="2C321461" w14:textId="77777777" w:rsidR="000A64FA" w:rsidRPr="0083496A" w:rsidRDefault="000A64FA" w:rsidP="0083496A">
      <w:pPr>
        <w:ind w:left="0"/>
        <w:jc w:val="both"/>
        <w:rPr>
          <w:rFonts w:asciiTheme="majorHAnsi" w:hAnsiTheme="majorHAnsi" w:cstheme="majorHAnsi"/>
          <w:b/>
          <w:sz w:val="22"/>
          <w:szCs w:val="22"/>
        </w:rPr>
      </w:pPr>
    </w:p>
    <w:p w14:paraId="1844891C" w14:textId="182C11C1" w:rsidR="000A64FA" w:rsidRPr="00765654" w:rsidRDefault="000A64FA" w:rsidP="0083496A">
      <w:pPr>
        <w:ind w:left="0"/>
        <w:jc w:val="both"/>
        <w:rPr>
          <w:rFonts w:asciiTheme="majorHAnsi" w:hAnsiTheme="majorHAnsi" w:cstheme="majorHAnsi"/>
          <w:sz w:val="22"/>
          <w:szCs w:val="22"/>
          <w:lang w:val="en-US"/>
        </w:rPr>
      </w:pPr>
      <w:r w:rsidRPr="0083496A">
        <w:rPr>
          <w:rFonts w:asciiTheme="majorHAnsi" w:hAnsiTheme="majorHAnsi" w:cstheme="majorHAnsi"/>
          <w:sz w:val="22"/>
          <w:szCs w:val="22"/>
        </w:rPr>
        <w:t xml:space="preserve">To this end, </w:t>
      </w:r>
      <w:r w:rsidR="0083496A">
        <w:rPr>
          <w:rFonts w:asciiTheme="majorHAnsi" w:hAnsiTheme="majorHAnsi" w:cstheme="majorHAnsi"/>
          <w:bCs/>
          <w:sz w:val="22"/>
          <w:szCs w:val="22"/>
        </w:rPr>
        <w:t xml:space="preserve">we </w:t>
      </w:r>
      <w:r w:rsidRPr="0083496A">
        <w:rPr>
          <w:rFonts w:asciiTheme="majorHAnsi" w:hAnsiTheme="majorHAnsi" w:cstheme="majorHAnsi"/>
          <w:sz w:val="22"/>
          <w:szCs w:val="22"/>
        </w:rPr>
        <w:t xml:space="preserve">will </w:t>
      </w:r>
      <w:r w:rsidR="001A163C" w:rsidRPr="0083496A">
        <w:rPr>
          <w:rFonts w:asciiTheme="majorHAnsi" w:hAnsiTheme="majorHAnsi" w:cstheme="majorHAnsi"/>
          <w:sz w:val="22"/>
          <w:szCs w:val="22"/>
        </w:rPr>
        <w:t>implement a</w:t>
      </w:r>
      <w:r w:rsidRPr="0083496A">
        <w:rPr>
          <w:rFonts w:asciiTheme="majorHAnsi" w:hAnsiTheme="majorHAnsi" w:cstheme="majorHAnsi"/>
          <w:sz w:val="22"/>
          <w:szCs w:val="22"/>
        </w:rPr>
        <w:t xml:space="preserve"> due diligence</w:t>
      </w:r>
      <w:r w:rsidR="001A163C" w:rsidRPr="0083496A">
        <w:rPr>
          <w:rFonts w:asciiTheme="majorHAnsi" w:hAnsiTheme="majorHAnsi" w:cstheme="majorHAnsi"/>
          <w:sz w:val="22"/>
          <w:szCs w:val="22"/>
        </w:rPr>
        <w:t xml:space="preserve"> process for </w:t>
      </w:r>
      <w:r w:rsidRPr="0083496A">
        <w:rPr>
          <w:rFonts w:asciiTheme="majorHAnsi" w:hAnsiTheme="majorHAnsi" w:cstheme="majorHAnsi"/>
          <w:sz w:val="22"/>
          <w:szCs w:val="22"/>
        </w:rPr>
        <w:t>its minerals supply chains, with the goal to prevent, identify, and manage risks associated with the extraction, trading, handling and exporting of minerals from CAHRA</w:t>
      </w:r>
      <w:r w:rsidR="00BB4E6C" w:rsidRPr="0083496A">
        <w:rPr>
          <w:rFonts w:asciiTheme="majorHAnsi" w:hAnsiTheme="majorHAnsi" w:cstheme="majorHAnsi"/>
          <w:sz w:val="22"/>
          <w:szCs w:val="22"/>
        </w:rPr>
        <w:t>.</w:t>
      </w:r>
      <w:r w:rsidR="0083496A">
        <w:rPr>
          <w:rFonts w:asciiTheme="majorHAnsi" w:hAnsiTheme="majorHAnsi" w:cstheme="majorHAnsi"/>
          <w:sz w:val="22"/>
          <w:szCs w:val="22"/>
        </w:rPr>
        <w:t xml:space="preserve"> We </w:t>
      </w:r>
      <w:r w:rsidR="00BB4E6C" w:rsidRPr="0083496A">
        <w:rPr>
          <w:rFonts w:asciiTheme="majorHAnsi" w:hAnsiTheme="majorHAnsi" w:cstheme="majorHAnsi"/>
          <w:sz w:val="22"/>
          <w:szCs w:val="22"/>
        </w:rPr>
        <w:t>will carry out due diligence</w:t>
      </w:r>
      <w:r w:rsidR="001A163C" w:rsidRPr="0083496A">
        <w:rPr>
          <w:rFonts w:asciiTheme="majorHAnsi" w:hAnsiTheme="majorHAnsi" w:cstheme="majorHAnsi"/>
          <w:sz w:val="22"/>
          <w:szCs w:val="22"/>
        </w:rPr>
        <w:t xml:space="preserve"> based on the 5-step framework of the </w:t>
      </w:r>
      <w:r w:rsidR="001A163C" w:rsidRPr="00765654">
        <w:rPr>
          <w:rFonts w:asciiTheme="majorHAnsi" w:hAnsiTheme="majorHAnsi" w:cstheme="majorHAnsi"/>
          <w:sz w:val="22"/>
          <w:szCs w:val="22"/>
          <w:lang w:val="en-US"/>
        </w:rPr>
        <w:t>OECD Due Diligence Guidance for Responsible Supply Chains of Minerals from Conflict-Affected and High-Risk Areas (OECD Guidance), and will focus its efforts on preventing, identifying and managing, at a minimum, the following risks</w:t>
      </w:r>
      <w:r w:rsidR="00C327AA" w:rsidRPr="00765654">
        <w:rPr>
          <w:rFonts w:asciiTheme="majorHAnsi" w:hAnsiTheme="majorHAnsi" w:cstheme="majorHAnsi"/>
          <w:sz w:val="22"/>
          <w:szCs w:val="22"/>
          <w:lang w:val="en-US"/>
        </w:rPr>
        <w:t>, as described below</w:t>
      </w:r>
      <w:r w:rsidR="001A163C" w:rsidRPr="00765654">
        <w:rPr>
          <w:rFonts w:asciiTheme="majorHAnsi" w:hAnsiTheme="majorHAnsi" w:cstheme="majorHAnsi"/>
          <w:sz w:val="22"/>
          <w:szCs w:val="22"/>
          <w:lang w:val="en-US"/>
        </w:rPr>
        <w:t>:</w:t>
      </w:r>
    </w:p>
    <w:p w14:paraId="184CAFAC" w14:textId="77777777" w:rsidR="001A163C" w:rsidRPr="00765654" w:rsidRDefault="007259EC" w:rsidP="0083496A">
      <w:pPr>
        <w:pStyle w:val="ListParagraph"/>
        <w:numPr>
          <w:ilvl w:val="0"/>
          <w:numId w:val="1"/>
        </w:numPr>
        <w:spacing w:before="100" w:beforeAutospacing="1" w:after="100" w:afterAutospacing="1" w:line="240" w:lineRule="auto"/>
        <w:contextualSpacing w:val="0"/>
        <w:jc w:val="both"/>
        <w:rPr>
          <w:rFonts w:asciiTheme="majorHAnsi" w:hAnsiTheme="majorHAnsi" w:cstheme="majorHAnsi"/>
          <w:sz w:val="22"/>
          <w:szCs w:val="22"/>
        </w:rPr>
      </w:pPr>
      <w:r w:rsidRPr="00765654">
        <w:rPr>
          <w:rFonts w:asciiTheme="majorHAnsi" w:hAnsiTheme="majorHAnsi" w:cstheme="majorHAnsi"/>
          <w:sz w:val="22"/>
          <w:szCs w:val="22"/>
        </w:rPr>
        <w:t>S</w:t>
      </w:r>
      <w:r w:rsidR="001A163C" w:rsidRPr="00765654">
        <w:rPr>
          <w:rFonts w:asciiTheme="majorHAnsi" w:hAnsiTheme="majorHAnsi" w:cstheme="majorHAnsi"/>
          <w:sz w:val="22"/>
          <w:szCs w:val="22"/>
        </w:rPr>
        <w:t xml:space="preserve">erious human rights abuses, such as forced labour and the worst forms of child </w:t>
      </w:r>
      <w:proofErr w:type="gramStart"/>
      <w:r w:rsidR="001A163C" w:rsidRPr="00765654">
        <w:rPr>
          <w:rFonts w:asciiTheme="majorHAnsi" w:hAnsiTheme="majorHAnsi" w:cstheme="majorHAnsi"/>
          <w:sz w:val="22"/>
          <w:szCs w:val="22"/>
        </w:rPr>
        <w:t>labour;</w:t>
      </w:r>
      <w:proofErr w:type="gramEnd"/>
    </w:p>
    <w:p w14:paraId="50FC0B50" w14:textId="77777777" w:rsidR="001A163C" w:rsidRPr="00765654" w:rsidRDefault="007259EC" w:rsidP="0083496A">
      <w:pPr>
        <w:pStyle w:val="ListParagraph"/>
        <w:numPr>
          <w:ilvl w:val="0"/>
          <w:numId w:val="1"/>
        </w:numPr>
        <w:spacing w:before="100" w:beforeAutospacing="1" w:after="100" w:afterAutospacing="1" w:line="240" w:lineRule="auto"/>
        <w:contextualSpacing w:val="0"/>
        <w:jc w:val="both"/>
        <w:rPr>
          <w:rFonts w:asciiTheme="majorHAnsi" w:hAnsiTheme="majorHAnsi" w:cstheme="majorHAnsi"/>
          <w:sz w:val="22"/>
          <w:szCs w:val="22"/>
        </w:rPr>
      </w:pPr>
      <w:r w:rsidRPr="00765654">
        <w:rPr>
          <w:rFonts w:asciiTheme="majorHAnsi" w:hAnsiTheme="majorHAnsi" w:cstheme="majorHAnsi"/>
          <w:sz w:val="22"/>
          <w:szCs w:val="22"/>
        </w:rPr>
        <w:t>S</w:t>
      </w:r>
      <w:r w:rsidR="001A163C" w:rsidRPr="00765654">
        <w:rPr>
          <w:rFonts w:asciiTheme="majorHAnsi" w:hAnsiTheme="majorHAnsi" w:cstheme="majorHAnsi"/>
          <w:sz w:val="22"/>
          <w:szCs w:val="22"/>
        </w:rPr>
        <w:t xml:space="preserve">upport to non-state armed </w:t>
      </w:r>
      <w:proofErr w:type="gramStart"/>
      <w:r w:rsidR="001A163C" w:rsidRPr="00765654">
        <w:rPr>
          <w:rFonts w:asciiTheme="majorHAnsi" w:hAnsiTheme="majorHAnsi" w:cstheme="majorHAnsi"/>
          <w:sz w:val="22"/>
          <w:szCs w:val="22"/>
        </w:rPr>
        <w:t>groups;</w:t>
      </w:r>
      <w:proofErr w:type="gramEnd"/>
    </w:p>
    <w:p w14:paraId="704ACDE2" w14:textId="77777777" w:rsidR="001A163C" w:rsidRPr="00765654" w:rsidRDefault="00FE3516" w:rsidP="0083496A">
      <w:pPr>
        <w:pStyle w:val="ListParagraph"/>
        <w:numPr>
          <w:ilvl w:val="0"/>
          <w:numId w:val="1"/>
        </w:numPr>
        <w:spacing w:before="100" w:beforeAutospacing="1" w:after="100" w:afterAutospacing="1" w:line="240" w:lineRule="auto"/>
        <w:contextualSpacing w:val="0"/>
        <w:jc w:val="both"/>
        <w:rPr>
          <w:rFonts w:asciiTheme="majorHAnsi" w:hAnsiTheme="majorHAnsi" w:cstheme="majorHAnsi"/>
          <w:sz w:val="22"/>
          <w:szCs w:val="22"/>
        </w:rPr>
      </w:pPr>
      <w:r>
        <w:rPr>
          <w:rFonts w:asciiTheme="majorHAnsi" w:hAnsiTheme="majorHAnsi" w:cstheme="majorHAnsi"/>
          <w:sz w:val="22"/>
          <w:szCs w:val="22"/>
        </w:rPr>
        <w:t>Risk associated to the contracting of</w:t>
      </w:r>
      <w:r w:rsidR="001A163C" w:rsidRPr="00765654">
        <w:rPr>
          <w:rFonts w:asciiTheme="majorHAnsi" w:hAnsiTheme="majorHAnsi" w:cstheme="majorHAnsi"/>
          <w:sz w:val="22"/>
          <w:szCs w:val="22"/>
        </w:rPr>
        <w:t xml:space="preserve"> public or private security </w:t>
      </w:r>
      <w:proofErr w:type="gramStart"/>
      <w:r w:rsidR="001A163C" w:rsidRPr="00765654">
        <w:rPr>
          <w:rFonts w:asciiTheme="majorHAnsi" w:hAnsiTheme="majorHAnsi" w:cstheme="majorHAnsi"/>
          <w:sz w:val="22"/>
          <w:szCs w:val="22"/>
        </w:rPr>
        <w:t>forces;</w:t>
      </w:r>
      <w:proofErr w:type="gramEnd"/>
    </w:p>
    <w:p w14:paraId="00C93E6F" w14:textId="77777777" w:rsidR="001A163C" w:rsidRPr="00765654" w:rsidRDefault="001A163C" w:rsidP="0083496A">
      <w:pPr>
        <w:pStyle w:val="ListParagraph"/>
        <w:numPr>
          <w:ilvl w:val="0"/>
          <w:numId w:val="1"/>
        </w:numPr>
        <w:spacing w:before="100" w:beforeAutospacing="1" w:after="100" w:afterAutospacing="1" w:line="240" w:lineRule="auto"/>
        <w:contextualSpacing w:val="0"/>
        <w:jc w:val="both"/>
        <w:rPr>
          <w:rFonts w:asciiTheme="majorHAnsi" w:hAnsiTheme="majorHAnsi" w:cstheme="majorHAnsi"/>
          <w:sz w:val="22"/>
          <w:szCs w:val="22"/>
        </w:rPr>
      </w:pPr>
      <w:r w:rsidRPr="00765654">
        <w:rPr>
          <w:rFonts w:asciiTheme="majorHAnsi" w:hAnsiTheme="majorHAnsi" w:cstheme="majorHAnsi"/>
          <w:sz w:val="22"/>
          <w:szCs w:val="22"/>
        </w:rPr>
        <w:lastRenderedPageBreak/>
        <w:t xml:space="preserve">Bribery and fraudulent misrepresentation of the origin of the </w:t>
      </w:r>
      <w:proofErr w:type="gramStart"/>
      <w:r w:rsidRPr="00765654">
        <w:rPr>
          <w:rFonts w:asciiTheme="majorHAnsi" w:hAnsiTheme="majorHAnsi" w:cstheme="majorHAnsi"/>
          <w:sz w:val="22"/>
          <w:szCs w:val="22"/>
        </w:rPr>
        <w:t>mineral;</w:t>
      </w:r>
      <w:proofErr w:type="gramEnd"/>
    </w:p>
    <w:p w14:paraId="436CC805" w14:textId="77777777" w:rsidR="001A163C" w:rsidRPr="00410749" w:rsidRDefault="001A163C" w:rsidP="0083496A">
      <w:pPr>
        <w:pStyle w:val="ListParagraph"/>
        <w:numPr>
          <w:ilvl w:val="0"/>
          <w:numId w:val="1"/>
        </w:numPr>
        <w:spacing w:before="100" w:beforeAutospacing="1" w:after="100" w:afterAutospacing="1" w:line="240" w:lineRule="auto"/>
        <w:contextualSpacing w:val="0"/>
        <w:jc w:val="both"/>
        <w:rPr>
          <w:rFonts w:asciiTheme="majorHAnsi" w:hAnsiTheme="majorHAnsi" w:cstheme="majorHAnsi"/>
          <w:sz w:val="22"/>
          <w:szCs w:val="22"/>
        </w:rPr>
      </w:pPr>
      <w:r w:rsidRPr="00410749">
        <w:rPr>
          <w:rFonts w:asciiTheme="majorHAnsi" w:hAnsiTheme="majorHAnsi" w:cstheme="majorHAnsi"/>
          <w:sz w:val="22"/>
          <w:szCs w:val="22"/>
        </w:rPr>
        <w:t>Money laundering and non-payment of taxes</w:t>
      </w:r>
      <w:r w:rsidR="00FE3516">
        <w:rPr>
          <w:rFonts w:asciiTheme="majorHAnsi" w:hAnsiTheme="majorHAnsi" w:cstheme="majorHAnsi"/>
          <w:sz w:val="22"/>
          <w:szCs w:val="22"/>
        </w:rPr>
        <w:t>, fees</w:t>
      </w:r>
      <w:r w:rsidRPr="00410749">
        <w:rPr>
          <w:rFonts w:asciiTheme="majorHAnsi" w:hAnsiTheme="majorHAnsi" w:cstheme="majorHAnsi"/>
          <w:sz w:val="22"/>
          <w:szCs w:val="22"/>
        </w:rPr>
        <w:t xml:space="preserve"> and royalties due to governments.</w:t>
      </w:r>
    </w:p>
    <w:p w14:paraId="3F423B4A" w14:textId="53AF7F62" w:rsidR="001A163C" w:rsidRPr="00765654" w:rsidRDefault="007259EC" w:rsidP="0083496A">
      <w:pPr>
        <w:ind w:left="0"/>
        <w:jc w:val="both"/>
        <w:rPr>
          <w:rFonts w:asciiTheme="majorHAnsi" w:hAnsiTheme="majorHAnsi" w:cstheme="majorHAnsi"/>
          <w:sz w:val="22"/>
          <w:szCs w:val="22"/>
        </w:rPr>
      </w:pPr>
      <w:r w:rsidRPr="008E2F8A">
        <w:rPr>
          <w:rFonts w:asciiTheme="majorHAnsi" w:hAnsiTheme="majorHAnsi" w:cstheme="majorHAnsi"/>
          <w:sz w:val="22"/>
          <w:szCs w:val="22"/>
        </w:rPr>
        <w:t>Should any of such risks be identified,</w:t>
      </w:r>
      <w:r w:rsidR="0083496A">
        <w:rPr>
          <w:rFonts w:asciiTheme="majorHAnsi" w:hAnsiTheme="majorHAnsi" w:cstheme="majorHAnsi"/>
          <w:sz w:val="22"/>
          <w:szCs w:val="22"/>
        </w:rPr>
        <w:t xml:space="preserve"> we </w:t>
      </w:r>
      <w:r w:rsidRPr="008E2F8A">
        <w:rPr>
          <w:rFonts w:asciiTheme="majorHAnsi" w:hAnsiTheme="majorHAnsi" w:cstheme="majorHAnsi"/>
          <w:sz w:val="22"/>
          <w:szCs w:val="22"/>
        </w:rPr>
        <w:t xml:space="preserve">will take appropriate </w:t>
      </w:r>
      <w:r w:rsidR="00C327AA" w:rsidRPr="008E2F8A">
        <w:rPr>
          <w:rFonts w:asciiTheme="majorHAnsi" w:hAnsiTheme="majorHAnsi" w:cstheme="majorHAnsi"/>
          <w:sz w:val="22"/>
          <w:szCs w:val="22"/>
        </w:rPr>
        <w:t xml:space="preserve">risk management </w:t>
      </w:r>
      <w:r w:rsidR="00765654" w:rsidRPr="008E2F8A">
        <w:rPr>
          <w:rFonts w:asciiTheme="majorHAnsi" w:hAnsiTheme="majorHAnsi" w:cstheme="majorHAnsi"/>
          <w:sz w:val="22"/>
          <w:szCs w:val="22"/>
        </w:rPr>
        <w:t>actio</w:t>
      </w:r>
      <w:r w:rsidR="00765654" w:rsidRPr="00410749">
        <w:rPr>
          <w:rFonts w:asciiTheme="majorHAnsi" w:hAnsiTheme="majorHAnsi" w:cstheme="majorHAnsi"/>
          <w:sz w:val="22"/>
          <w:szCs w:val="22"/>
        </w:rPr>
        <w:t>n, as described below</w:t>
      </w:r>
      <w:r w:rsidRPr="00410749">
        <w:rPr>
          <w:rFonts w:asciiTheme="majorHAnsi" w:hAnsiTheme="majorHAnsi" w:cstheme="majorHAnsi"/>
          <w:sz w:val="22"/>
          <w:szCs w:val="22"/>
        </w:rPr>
        <w:t>.</w:t>
      </w:r>
    </w:p>
    <w:p w14:paraId="6AE95228" w14:textId="77777777" w:rsidR="00B160FD" w:rsidRPr="00765654" w:rsidRDefault="00B160FD" w:rsidP="0083496A">
      <w:pPr>
        <w:ind w:left="0"/>
        <w:jc w:val="both"/>
        <w:rPr>
          <w:rFonts w:asciiTheme="majorHAnsi" w:hAnsiTheme="majorHAnsi" w:cstheme="majorHAnsi"/>
          <w:b/>
          <w:sz w:val="22"/>
          <w:szCs w:val="22"/>
        </w:rPr>
      </w:pPr>
    </w:p>
    <w:p w14:paraId="1401C54A" w14:textId="77777777" w:rsidR="00C327AA" w:rsidRPr="00765654" w:rsidRDefault="00B160FD" w:rsidP="0083496A">
      <w:pPr>
        <w:ind w:left="0"/>
        <w:jc w:val="both"/>
        <w:rPr>
          <w:rFonts w:asciiTheme="majorHAnsi" w:hAnsiTheme="majorHAnsi" w:cstheme="majorHAnsi"/>
          <w:b/>
          <w:sz w:val="22"/>
          <w:szCs w:val="22"/>
        </w:rPr>
      </w:pPr>
      <w:r w:rsidRPr="00765654">
        <w:rPr>
          <w:rFonts w:asciiTheme="majorHAnsi" w:hAnsiTheme="majorHAnsi" w:cstheme="majorHAnsi"/>
          <w:b/>
          <w:sz w:val="22"/>
          <w:szCs w:val="22"/>
        </w:rPr>
        <w:t>Regarding serious abuses associated with the extraction, transport or trade of minerals:</w:t>
      </w:r>
    </w:p>
    <w:p w14:paraId="22FA6BFF" w14:textId="560D286E"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 xml:space="preserve">While sourcing from, or operating in, </w:t>
      </w:r>
      <w:r w:rsidR="00C327AA" w:rsidRPr="00765654">
        <w:rPr>
          <w:rFonts w:asciiTheme="majorHAnsi" w:hAnsiTheme="majorHAnsi" w:cstheme="majorHAnsi"/>
          <w:sz w:val="22"/>
          <w:szCs w:val="22"/>
        </w:rPr>
        <w:t>CAHRA</w:t>
      </w:r>
      <w:r w:rsidRPr="00765654">
        <w:rPr>
          <w:rFonts w:asciiTheme="majorHAnsi" w:hAnsiTheme="majorHAnsi" w:cstheme="majorHAnsi"/>
          <w:sz w:val="22"/>
          <w:szCs w:val="22"/>
        </w:rPr>
        <w:t>, we will neither tolerate nor by any means profit from, contribute to, assist with or facilitate the commission by any party of:</w:t>
      </w:r>
    </w:p>
    <w:p w14:paraId="7C0DCD61" w14:textId="77777777" w:rsidR="00B160FD" w:rsidRPr="00765654" w:rsidRDefault="00B160FD" w:rsidP="0083496A">
      <w:pPr>
        <w:pStyle w:val="ListParagraph"/>
        <w:numPr>
          <w:ilvl w:val="0"/>
          <w:numId w:val="3"/>
        </w:numPr>
        <w:jc w:val="both"/>
        <w:rPr>
          <w:rFonts w:asciiTheme="majorHAnsi" w:hAnsiTheme="majorHAnsi" w:cstheme="majorHAnsi"/>
          <w:sz w:val="22"/>
          <w:szCs w:val="22"/>
        </w:rPr>
      </w:pPr>
      <w:r w:rsidRPr="00765654">
        <w:rPr>
          <w:rFonts w:asciiTheme="majorHAnsi" w:hAnsiTheme="majorHAnsi" w:cstheme="majorHAnsi"/>
          <w:sz w:val="22"/>
          <w:szCs w:val="22"/>
        </w:rPr>
        <w:t xml:space="preserve">any forms of torture, cruel, inhuman and degrading </w:t>
      </w:r>
      <w:proofErr w:type="gramStart"/>
      <w:r w:rsidRPr="00765654">
        <w:rPr>
          <w:rFonts w:asciiTheme="majorHAnsi" w:hAnsiTheme="majorHAnsi" w:cstheme="majorHAnsi"/>
          <w:sz w:val="22"/>
          <w:szCs w:val="22"/>
        </w:rPr>
        <w:t>treatment;</w:t>
      </w:r>
      <w:proofErr w:type="gramEnd"/>
    </w:p>
    <w:p w14:paraId="388D07D6" w14:textId="77777777" w:rsidR="00C327AA" w:rsidRPr="00765654" w:rsidRDefault="00B160FD" w:rsidP="0083496A">
      <w:pPr>
        <w:pStyle w:val="ListParagraph"/>
        <w:numPr>
          <w:ilvl w:val="0"/>
          <w:numId w:val="3"/>
        </w:numPr>
        <w:jc w:val="both"/>
        <w:rPr>
          <w:rFonts w:asciiTheme="majorHAnsi" w:hAnsiTheme="majorHAnsi" w:cstheme="majorHAnsi"/>
          <w:sz w:val="22"/>
          <w:szCs w:val="22"/>
        </w:rPr>
      </w:pPr>
      <w:r w:rsidRPr="00765654">
        <w:rPr>
          <w:rFonts w:asciiTheme="majorHAnsi" w:hAnsiTheme="majorHAnsi" w:cstheme="majorHAnsi"/>
          <w:sz w:val="22"/>
          <w:szCs w:val="22"/>
        </w:rPr>
        <w:t xml:space="preserve">any forms of forced or compulsory labour, which means work or service which is exacted from any person under the menace of penalty and for which said person has not offered himself </w:t>
      </w:r>
      <w:proofErr w:type="gramStart"/>
      <w:r w:rsidRPr="00765654">
        <w:rPr>
          <w:rFonts w:asciiTheme="majorHAnsi" w:hAnsiTheme="majorHAnsi" w:cstheme="majorHAnsi"/>
          <w:sz w:val="22"/>
          <w:szCs w:val="22"/>
        </w:rPr>
        <w:t>voluntarily;</w:t>
      </w:r>
      <w:proofErr w:type="gramEnd"/>
    </w:p>
    <w:p w14:paraId="1572717D" w14:textId="77777777" w:rsidR="00C327AA" w:rsidRPr="00765654" w:rsidRDefault="00B160FD" w:rsidP="0083496A">
      <w:pPr>
        <w:pStyle w:val="ListParagraph"/>
        <w:numPr>
          <w:ilvl w:val="0"/>
          <w:numId w:val="3"/>
        </w:numPr>
        <w:jc w:val="both"/>
        <w:rPr>
          <w:rFonts w:asciiTheme="majorHAnsi" w:hAnsiTheme="majorHAnsi" w:cstheme="majorHAnsi"/>
          <w:sz w:val="22"/>
          <w:szCs w:val="22"/>
        </w:rPr>
      </w:pPr>
      <w:r w:rsidRPr="00765654">
        <w:rPr>
          <w:rFonts w:asciiTheme="majorHAnsi" w:hAnsiTheme="majorHAnsi" w:cstheme="majorHAnsi"/>
          <w:sz w:val="22"/>
          <w:szCs w:val="22"/>
        </w:rPr>
        <w:t>t</w:t>
      </w:r>
      <w:r w:rsidR="00C327AA" w:rsidRPr="00765654">
        <w:rPr>
          <w:rFonts w:asciiTheme="majorHAnsi" w:hAnsiTheme="majorHAnsi" w:cstheme="majorHAnsi"/>
          <w:sz w:val="22"/>
          <w:szCs w:val="22"/>
        </w:rPr>
        <w:t xml:space="preserve">he worst forms of child </w:t>
      </w:r>
      <w:proofErr w:type="gramStart"/>
      <w:r w:rsidR="00C327AA" w:rsidRPr="00765654">
        <w:rPr>
          <w:rFonts w:asciiTheme="majorHAnsi" w:hAnsiTheme="majorHAnsi" w:cstheme="majorHAnsi"/>
          <w:sz w:val="22"/>
          <w:szCs w:val="22"/>
        </w:rPr>
        <w:t>labour;</w:t>
      </w:r>
      <w:proofErr w:type="gramEnd"/>
    </w:p>
    <w:p w14:paraId="62788C98" w14:textId="77777777" w:rsidR="00C327AA" w:rsidRPr="00765654" w:rsidRDefault="00B160FD" w:rsidP="0083496A">
      <w:pPr>
        <w:pStyle w:val="ListParagraph"/>
        <w:numPr>
          <w:ilvl w:val="0"/>
          <w:numId w:val="3"/>
        </w:numPr>
        <w:jc w:val="both"/>
        <w:rPr>
          <w:rFonts w:asciiTheme="majorHAnsi" w:hAnsiTheme="majorHAnsi" w:cstheme="majorHAnsi"/>
          <w:sz w:val="22"/>
          <w:szCs w:val="22"/>
        </w:rPr>
      </w:pPr>
      <w:r w:rsidRPr="00765654">
        <w:rPr>
          <w:rFonts w:asciiTheme="majorHAnsi" w:hAnsiTheme="majorHAnsi" w:cstheme="majorHAnsi"/>
          <w:sz w:val="22"/>
          <w:szCs w:val="22"/>
        </w:rPr>
        <w:t xml:space="preserve">other gross human rights violations and abuses such as widespread sexual </w:t>
      </w:r>
      <w:proofErr w:type="gramStart"/>
      <w:r w:rsidRPr="00765654">
        <w:rPr>
          <w:rFonts w:asciiTheme="majorHAnsi" w:hAnsiTheme="majorHAnsi" w:cstheme="majorHAnsi"/>
          <w:sz w:val="22"/>
          <w:szCs w:val="22"/>
        </w:rPr>
        <w:t>violence;</w:t>
      </w:r>
      <w:proofErr w:type="gramEnd"/>
    </w:p>
    <w:p w14:paraId="45B6884C" w14:textId="77777777" w:rsidR="00B160FD" w:rsidRPr="00765654" w:rsidRDefault="00B160FD" w:rsidP="0083496A">
      <w:pPr>
        <w:pStyle w:val="ListParagraph"/>
        <w:numPr>
          <w:ilvl w:val="0"/>
          <w:numId w:val="3"/>
        </w:numPr>
        <w:jc w:val="both"/>
        <w:rPr>
          <w:rFonts w:asciiTheme="majorHAnsi" w:hAnsiTheme="majorHAnsi" w:cstheme="majorHAnsi"/>
          <w:sz w:val="22"/>
          <w:szCs w:val="22"/>
        </w:rPr>
      </w:pPr>
      <w:r w:rsidRPr="00765654">
        <w:rPr>
          <w:rFonts w:asciiTheme="majorHAnsi" w:hAnsiTheme="majorHAnsi" w:cstheme="majorHAnsi"/>
          <w:sz w:val="22"/>
          <w:szCs w:val="22"/>
        </w:rPr>
        <w:t>war crimes or other serious violations of international humanitarian law, crimes against humanity or genocide.</w:t>
      </w:r>
    </w:p>
    <w:p w14:paraId="0697A6BA" w14:textId="77777777" w:rsidR="00C327AA" w:rsidRPr="00765654" w:rsidRDefault="00C327AA" w:rsidP="0083496A">
      <w:pPr>
        <w:pStyle w:val="ListParagraph"/>
        <w:ind w:left="1080"/>
        <w:jc w:val="both"/>
        <w:rPr>
          <w:rFonts w:asciiTheme="majorHAnsi" w:hAnsiTheme="majorHAnsi" w:cstheme="majorHAnsi"/>
          <w:sz w:val="22"/>
          <w:szCs w:val="22"/>
        </w:rPr>
      </w:pPr>
    </w:p>
    <w:p w14:paraId="6A3FA24B" w14:textId="4B9BBB2B"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 xml:space="preserve">We will immediately suspend or discontinue engagement with upstream suppliers where we identify a reasonable risk that they are sourcing from, or linked to, any party committing serious abuses as defined </w:t>
      </w:r>
      <w:r w:rsidR="00C327AA" w:rsidRPr="00765654">
        <w:rPr>
          <w:rFonts w:asciiTheme="majorHAnsi" w:hAnsiTheme="majorHAnsi" w:cstheme="majorHAnsi"/>
          <w:sz w:val="22"/>
          <w:szCs w:val="22"/>
        </w:rPr>
        <w:t>above</w:t>
      </w:r>
      <w:r w:rsidRPr="00765654">
        <w:rPr>
          <w:rFonts w:asciiTheme="majorHAnsi" w:hAnsiTheme="majorHAnsi" w:cstheme="majorHAnsi"/>
          <w:sz w:val="22"/>
          <w:szCs w:val="22"/>
        </w:rPr>
        <w:t>.</w:t>
      </w:r>
    </w:p>
    <w:p w14:paraId="26420ADD" w14:textId="77777777" w:rsidR="00B160FD" w:rsidRPr="00765654" w:rsidRDefault="00B160FD" w:rsidP="0083496A">
      <w:pPr>
        <w:ind w:left="0"/>
        <w:jc w:val="both"/>
        <w:rPr>
          <w:rFonts w:asciiTheme="majorHAnsi" w:hAnsiTheme="majorHAnsi" w:cstheme="majorHAnsi"/>
          <w:sz w:val="22"/>
          <w:szCs w:val="22"/>
        </w:rPr>
      </w:pPr>
    </w:p>
    <w:p w14:paraId="4EA77E2D" w14:textId="77777777" w:rsidR="00B160FD" w:rsidRPr="00765654" w:rsidRDefault="00B160FD" w:rsidP="0083496A">
      <w:pPr>
        <w:ind w:left="0"/>
        <w:jc w:val="both"/>
        <w:rPr>
          <w:rFonts w:asciiTheme="majorHAnsi" w:hAnsiTheme="majorHAnsi" w:cstheme="majorHAnsi"/>
          <w:b/>
          <w:sz w:val="22"/>
          <w:szCs w:val="22"/>
        </w:rPr>
      </w:pPr>
      <w:r w:rsidRPr="00765654">
        <w:rPr>
          <w:rFonts w:asciiTheme="majorHAnsi" w:hAnsiTheme="majorHAnsi" w:cstheme="majorHAnsi"/>
          <w:b/>
          <w:sz w:val="22"/>
          <w:szCs w:val="22"/>
        </w:rPr>
        <w:t>Regarding direct or indirect sup</w:t>
      </w:r>
      <w:r w:rsidR="00C327AA" w:rsidRPr="00765654">
        <w:rPr>
          <w:rFonts w:asciiTheme="majorHAnsi" w:hAnsiTheme="majorHAnsi" w:cstheme="majorHAnsi"/>
          <w:b/>
          <w:sz w:val="22"/>
          <w:szCs w:val="22"/>
        </w:rPr>
        <w:t>port to non-state armed groups:</w:t>
      </w:r>
    </w:p>
    <w:p w14:paraId="457DE6C8" w14:textId="30684015"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We will not tolerate any direct or indirect support to non-state armed groups through the extraction, transport, trade, handling or export of minerals. “Direct or indirect support” to non-state armed groups through the extraction, transport, trade, handling or export of minerals i</w:t>
      </w:r>
      <w:r w:rsidR="00F007C7">
        <w:rPr>
          <w:rFonts w:asciiTheme="majorHAnsi" w:hAnsiTheme="majorHAnsi" w:cstheme="majorHAnsi"/>
          <w:sz w:val="22"/>
          <w:szCs w:val="22"/>
        </w:rPr>
        <w:t xml:space="preserve">ncludes, but is not limited to, </w:t>
      </w:r>
      <w:r w:rsidRPr="00765654">
        <w:rPr>
          <w:rFonts w:asciiTheme="majorHAnsi" w:hAnsiTheme="majorHAnsi" w:cstheme="majorHAnsi"/>
          <w:sz w:val="22"/>
          <w:szCs w:val="22"/>
        </w:rPr>
        <w:t>procuring minerals from, making payments to or otherwise providing logistical assistance or equipment to, non-state armed g</w:t>
      </w:r>
      <w:r w:rsidR="00F007C7">
        <w:rPr>
          <w:rFonts w:asciiTheme="majorHAnsi" w:hAnsiTheme="majorHAnsi" w:cstheme="majorHAnsi"/>
          <w:sz w:val="22"/>
          <w:szCs w:val="22"/>
        </w:rPr>
        <w:t>roups or their affiliates who:</w:t>
      </w:r>
    </w:p>
    <w:p w14:paraId="0A0B6299" w14:textId="77777777" w:rsidR="00F007C7" w:rsidRDefault="00B160FD" w:rsidP="0083496A">
      <w:pPr>
        <w:pStyle w:val="ListParagraph"/>
        <w:numPr>
          <w:ilvl w:val="0"/>
          <w:numId w:val="4"/>
        </w:numPr>
        <w:jc w:val="both"/>
        <w:rPr>
          <w:rFonts w:asciiTheme="majorHAnsi" w:hAnsiTheme="majorHAnsi" w:cstheme="majorHAnsi"/>
          <w:sz w:val="22"/>
          <w:szCs w:val="22"/>
        </w:rPr>
      </w:pPr>
      <w:r w:rsidRPr="00F007C7">
        <w:rPr>
          <w:rFonts w:asciiTheme="majorHAnsi" w:hAnsiTheme="majorHAnsi" w:cstheme="majorHAnsi"/>
          <w:sz w:val="22"/>
          <w:szCs w:val="22"/>
        </w:rPr>
        <w:t>illegally control mine sites or otherwise</w:t>
      </w:r>
      <w:r w:rsidR="00F007C7" w:rsidRPr="00F007C7">
        <w:rPr>
          <w:rFonts w:asciiTheme="majorHAnsi" w:hAnsiTheme="majorHAnsi" w:cstheme="majorHAnsi"/>
          <w:sz w:val="22"/>
          <w:szCs w:val="22"/>
        </w:rPr>
        <w:t xml:space="preserve"> control transportation routes, </w:t>
      </w:r>
      <w:r w:rsidRPr="00F007C7">
        <w:rPr>
          <w:rFonts w:asciiTheme="majorHAnsi" w:hAnsiTheme="majorHAnsi" w:cstheme="majorHAnsi"/>
          <w:sz w:val="22"/>
          <w:szCs w:val="22"/>
        </w:rPr>
        <w:t>points where minerals are traded and upstr</w:t>
      </w:r>
      <w:r w:rsidR="00F007C7" w:rsidRPr="00F007C7">
        <w:rPr>
          <w:rFonts w:asciiTheme="majorHAnsi" w:hAnsiTheme="majorHAnsi" w:cstheme="majorHAnsi"/>
          <w:sz w:val="22"/>
          <w:szCs w:val="22"/>
        </w:rPr>
        <w:t xml:space="preserve">eam actors in the supply </w:t>
      </w:r>
      <w:proofErr w:type="gramStart"/>
      <w:r w:rsidR="00F007C7" w:rsidRPr="00F007C7">
        <w:rPr>
          <w:rFonts w:asciiTheme="majorHAnsi" w:hAnsiTheme="majorHAnsi" w:cstheme="majorHAnsi"/>
          <w:sz w:val="22"/>
          <w:szCs w:val="22"/>
        </w:rPr>
        <w:t>chain;</w:t>
      </w:r>
      <w:r w:rsidRPr="00F007C7">
        <w:rPr>
          <w:rFonts w:asciiTheme="majorHAnsi" w:hAnsiTheme="majorHAnsi" w:cstheme="majorHAnsi"/>
          <w:sz w:val="22"/>
          <w:szCs w:val="22"/>
        </w:rPr>
        <w:t xml:space="preserve"> </w:t>
      </w:r>
      <w:r w:rsidR="00F007C7" w:rsidRPr="00F007C7">
        <w:rPr>
          <w:rFonts w:asciiTheme="majorHAnsi" w:hAnsiTheme="majorHAnsi" w:cstheme="majorHAnsi"/>
          <w:sz w:val="22"/>
          <w:szCs w:val="22"/>
        </w:rPr>
        <w:t xml:space="preserve"> </w:t>
      </w:r>
      <w:r w:rsidRPr="00F007C7">
        <w:rPr>
          <w:rFonts w:asciiTheme="majorHAnsi" w:hAnsiTheme="majorHAnsi" w:cstheme="majorHAnsi"/>
          <w:sz w:val="22"/>
          <w:szCs w:val="22"/>
        </w:rPr>
        <w:t>and</w:t>
      </w:r>
      <w:proofErr w:type="gramEnd"/>
      <w:r w:rsidRPr="00F007C7">
        <w:rPr>
          <w:rFonts w:asciiTheme="majorHAnsi" w:hAnsiTheme="majorHAnsi" w:cstheme="majorHAnsi"/>
          <w:sz w:val="22"/>
          <w:szCs w:val="22"/>
        </w:rPr>
        <w:t>/or</w:t>
      </w:r>
    </w:p>
    <w:p w14:paraId="71D2362F" w14:textId="77777777" w:rsidR="00F007C7" w:rsidRDefault="00F007C7" w:rsidP="0083496A">
      <w:pPr>
        <w:pStyle w:val="ListParagraph"/>
        <w:numPr>
          <w:ilvl w:val="0"/>
          <w:numId w:val="4"/>
        </w:numPr>
        <w:jc w:val="both"/>
        <w:rPr>
          <w:rFonts w:asciiTheme="majorHAnsi" w:hAnsiTheme="majorHAnsi" w:cstheme="majorHAnsi"/>
          <w:sz w:val="22"/>
          <w:szCs w:val="22"/>
        </w:rPr>
      </w:pPr>
      <w:r>
        <w:rPr>
          <w:rFonts w:asciiTheme="majorHAnsi" w:hAnsiTheme="majorHAnsi" w:cstheme="majorHAnsi"/>
          <w:sz w:val="22"/>
          <w:szCs w:val="22"/>
        </w:rPr>
        <w:t>illegally tax or extort</w:t>
      </w:r>
      <w:r w:rsidR="00B160FD" w:rsidRPr="00F007C7">
        <w:rPr>
          <w:rFonts w:asciiTheme="majorHAnsi" w:hAnsiTheme="majorHAnsi" w:cstheme="majorHAnsi"/>
          <w:sz w:val="22"/>
          <w:szCs w:val="22"/>
        </w:rPr>
        <w:t xml:space="preserve"> money or minerals at points of access to mine sites, along transportation routes or at points where minerals are traded; and/or</w:t>
      </w:r>
    </w:p>
    <w:p w14:paraId="2875A887" w14:textId="2A6F28D7" w:rsidR="00B160FD" w:rsidRPr="00F007C7" w:rsidRDefault="00B160FD" w:rsidP="0083496A">
      <w:pPr>
        <w:pStyle w:val="ListParagraph"/>
        <w:numPr>
          <w:ilvl w:val="0"/>
          <w:numId w:val="4"/>
        </w:numPr>
        <w:jc w:val="both"/>
        <w:rPr>
          <w:rFonts w:asciiTheme="majorHAnsi" w:hAnsiTheme="majorHAnsi" w:cstheme="majorHAnsi"/>
          <w:sz w:val="22"/>
          <w:szCs w:val="22"/>
        </w:rPr>
      </w:pPr>
      <w:r w:rsidRPr="00F007C7">
        <w:rPr>
          <w:rFonts w:asciiTheme="majorHAnsi" w:hAnsiTheme="majorHAnsi" w:cstheme="majorHAnsi"/>
          <w:sz w:val="22"/>
          <w:szCs w:val="22"/>
        </w:rPr>
        <w:t xml:space="preserve">illegally tax or extort intermediaries, export </w:t>
      </w:r>
      <w:r w:rsidR="00FE3516">
        <w:rPr>
          <w:rFonts w:asciiTheme="majorHAnsi" w:hAnsiTheme="majorHAnsi" w:cstheme="majorHAnsi"/>
          <w:sz w:val="22"/>
          <w:szCs w:val="22"/>
        </w:rPr>
        <w:t>businesses</w:t>
      </w:r>
      <w:r w:rsidRPr="00F007C7">
        <w:rPr>
          <w:rFonts w:asciiTheme="majorHAnsi" w:hAnsiTheme="majorHAnsi" w:cstheme="majorHAnsi"/>
          <w:sz w:val="22"/>
          <w:szCs w:val="22"/>
        </w:rPr>
        <w:t xml:space="preserve"> or international traders.</w:t>
      </w:r>
    </w:p>
    <w:p w14:paraId="44CF1BD5" w14:textId="77777777" w:rsidR="00B160FD" w:rsidRPr="00765654" w:rsidRDefault="00B160FD" w:rsidP="0083496A">
      <w:pPr>
        <w:ind w:left="0"/>
        <w:jc w:val="both"/>
        <w:rPr>
          <w:rFonts w:asciiTheme="majorHAnsi" w:hAnsiTheme="majorHAnsi" w:cstheme="majorHAnsi"/>
          <w:sz w:val="22"/>
          <w:szCs w:val="22"/>
        </w:rPr>
      </w:pPr>
    </w:p>
    <w:p w14:paraId="34E2F92D" w14:textId="20F2563B"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 xml:space="preserve">We will immediately suspend or discontinue engagement with upstream suppliers where we identify a reasonable risk that they are sourcing from, or linked to, any party providing direct or indirect support to non-state armed groups as defined </w:t>
      </w:r>
      <w:r w:rsidR="00F007C7">
        <w:rPr>
          <w:rFonts w:asciiTheme="majorHAnsi" w:hAnsiTheme="majorHAnsi" w:cstheme="majorHAnsi"/>
          <w:sz w:val="22"/>
          <w:szCs w:val="22"/>
        </w:rPr>
        <w:t>above</w:t>
      </w:r>
      <w:r w:rsidRPr="00765654">
        <w:rPr>
          <w:rFonts w:asciiTheme="majorHAnsi" w:hAnsiTheme="majorHAnsi" w:cstheme="majorHAnsi"/>
          <w:sz w:val="22"/>
          <w:szCs w:val="22"/>
        </w:rPr>
        <w:t>.</w:t>
      </w:r>
    </w:p>
    <w:p w14:paraId="027E0A0B" w14:textId="77777777" w:rsidR="00B160FD" w:rsidRPr="00765654" w:rsidRDefault="00B160FD" w:rsidP="0083496A">
      <w:pPr>
        <w:ind w:left="0"/>
        <w:jc w:val="both"/>
        <w:rPr>
          <w:rFonts w:asciiTheme="majorHAnsi" w:hAnsiTheme="majorHAnsi" w:cstheme="majorHAnsi"/>
          <w:sz w:val="22"/>
          <w:szCs w:val="22"/>
        </w:rPr>
      </w:pPr>
    </w:p>
    <w:p w14:paraId="3854018B" w14:textId="77777777" w:rsidR="00B160FD" w:rsidRPr="00C4560E" w:rsidRDefault="00B160FD" w:rsidP="0083496A">
      <w:pPr>
        <w:ind w:left="0"/>
        <w:jc w:val="both"/>
        <w:rPr>
          <w:rFonts w:asciiTheme="majorHAnsi" w:hAnsiTheme="majorHAnsi" w:cstheme="majorHAnsi"/>
          <w:b/>
          <w:sz w:val="22"/>
          <w:szCs w:val="22"/>
        </w:rPr>
      </w:pPr>
      <w:r w:rsidRPr="00C4560E">
        <w:rPr>
          <w:rFonts w:asciiTheme="majorHAnsi" w:hAnsiTheme="majorHAnsi" w:cstheme="majorHAnsi"/>
          <w:b/>
          <w:sz w:val="22"/>
          <w:szCs w:val="22"/>
        </w:rPr>
        <w:t>Regarding pub</w:t>
      </w:r>
      <w:r w:rsidR="00C4560E">
        <w:rPr>
          <w:rFonts w:asciiTheme="majorHAnsi" w:hAnsiTheme="majorHAnsi" w:cstheme="majorHAnsi"/>
          <w:b/>
          <w:sz w:val="22"/>
          <w:szCs w:val="22"/>
        </w:rPr>
        <w:t>lic or private security forces:</w:t>
      </w:r>
    </w:p>
    <w:p w14:paraId="09CBF829" w14:textId="32FC5AB2"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We agree to eliminate direct or indirect support to public or private security forces who illegally control mine sites, transportation routes and upstream actors in the supply chain; illegally tax or extort money or minerals at point</w:t>
      </w:r>
      <w:r w:rsidR="00C4560E">
        <w:rPr>
          <w:rFonts w:asciiTheme="majorHAnsi" w:hAnsiTheme="majorHAnsi" w:cstheme="majorHAnsi"/>
          <w:sz w:val="22"/>
          <w:szCs w:val="22"/>
        </w:rPr>
        <w:t xml:space="preserve"> of access to mine sites, along </w:t>
      </w:r>
      <w:r w:rsidRPr="00765654">
        <w:rPr>
          <w:rFonts w:asciiTheme="majorHAnsi" w:hAnsiTheme="majorHAnsi" w:cstheme="majorHAnsi"/>
          <w:sz w:val="22"/>
          <w:szCs w:val="22"/>
        </w:rPr>
        <w:t xml:space="preserve">transportation routes or at points </w:t>
      </w:r>
      <w:r w:rsidRPr="00765654">
        <w:rPr>
          <w:rFonts w:asciiTheme="majorHAnsi" w:hAnsiTheme="majorHAnsi" w:cstheme="majorHAnsi"/>
          <w:sz w:val="22"/>
          <w:szCs w:val="22"/>
        </w:rPr>
        <w:lastRenderedPageBreak/>
        <w:t xml:space="preserve">where minerals are traded; or illegally tax or extort intermediaries, export </w:t>
      </w:r>
      <w:r w:rsidR="00FE3516">
        <w:rPr>
          <w:rFonts w:asciiTheme="majorHAnsi" w:hAnsiTheme="majorHAnsi" w:cstheme="majorHAnsi"/>
          <w:sz w:val="22"/>
          <w:szCs w:val="22"/>
        </w:rPr>
        <w:t xml:space="preserve">businesses </w:t>
      </w:r>
      <w:r w:rsidR="00C4560E">
        <w:rPr>
          <w:rFonts w:asciiTheme="majorHAnsi" w:hAnsiTheme="majorHAnsi" w:cstheme="majorHAnsi"/>
          <w:sz w:val="22"/>
          <w:szCs w:val="22"/>
        </w:rPr>
        <w:t>or international traders.</w:t>
      </w:r>
    </w:p>
    <w:p w14:paraId="70FBEC06" w14:textId="77777777" w:rsidR="00B160FD" w:rsidRPr="00765654" w:rsidRDefault="00B160FD" w:rsidP="0083496A">
      <w:pPr>
        <w:ind w:left="0"/>
        <w:jc w:val="both"/>
        <w:rPr>
          <w:rFonts w:asciiTheme="majorHAnsi" w:hAnsiTheme="majorHAnsi" w:cstheme="majorHAnsi"/>
          <w:sz w:val="22"/>
          <w:szCs w:val="22"/>
        </w:rPr>
      </w:pPr>
    </w:p>
    <w:p w14:paraId="0B9A85B0" w14:textId="16303B34"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We recognise that the role of public or private security forces at the mine sites and/or surrounding areas and/or along transportation routes should be solely to maintain the rule of law, including safeguarding human rights, providing security to mine workers, equipment and facilities, and protecting the mine site or transportation routes from interference with legitimate extraction and trade.</w:t>
      </w:r>
    </w:p>
    <w:p w14:paraId="42076CCE" w14:textId="77777777" w:rsidR="00B160FD" w:rsidRPr="00765654" w:rsidRDefault="00B160FD" w:rsidP="0083496A">
      <w:pPr>
        <w:ind w:left="0"/>
        <w:jc w:val="both"/>
        <w:rPr>
          <w:rFonts w:asciiTheme="majorHAnsi" w:hAnsiTheme="majorHAnsi" w:cstheme="majorHAnsi"/>
          <w:sz w:val="22"/>
          <w:szCs w:val="22"/>
        </w:rPr>
      </w:pPr>
    </w:p>
    <w:p w14:paraId="31E5F9B2" w14:textId="0A8E0B3A"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 xml:space="preserve">Where we or any </w:t>
      </w:r>
      <w:r w:rsidR="00FE3516">
        <w:rPr>
          <w:rFonts w:asciiTheme="majorHAnsi" w:hAnsiTheme="majorHAnsi" w:cstheme="majorHAnsi"/>
          <w:sz w:val="22"/>
          <w:szCs w:val="22"/>
        </w:rPr>
        <w:t>business</w:t>
      </w:r>
      <w:r w:rsidR="00FE3516" w:rsidRPr="00765654">
        <w:rPr>
          <w:rFonts w:asciiTheme="majorHAnsi" w:hAnsiTheme="majorHAnsi" w:cstheme="majorHAnsi"/>
          <w:sz w:val="22"/>
          <w:szCs w:val="22"/>
        </w:rPr>
        <w:t xml:space="preserve"> </w:t>
      </w:r>
      <w:r w:rsidRPr="00765654">
        <w:rPr>
          <w:rFonts w:asciiTheme="majorHAnsi" w:hAnsiTheme="majorHAnsi" w:cstheme="majorHAnsi"/>
          <w:sz w:val="22"/>
          <w:szCs w:val="22"/>
        </w:rPr>
        <w:t>in our supply chain contract public or private security forces, we commit to or we will require that such security forces will be engaged in accordance with the Voluntary Principles on Security and Human Rights. In particular, we will support or take steps, to adopt screening policies to ensure that individuals or units of security forces that are known to have been responsible for gross human rights abuses will not be hired.</w:t>
      </w:r>
    </w:p>
    <w:p w14:paraId="5EA8F9DA" w14:textId="77777777" w:rsidR="00B160FD" w:rsidRPr="00765654" w:rsidRDefault="00B160FD" w:rsidP="0083496A">
      <w:pPr>
        <w:ind w:left="0"/>
        <w:jc w:val="both"/>
        <w:rPr>
          <w:rFonts w:asciiTheme="majorHAnsi" w:hAnsiTheme="majorHAnsi" w:cstheme="majorHAnsi"/>
          <w:sz w:val="22"/>
          <w:szCs w:val="22"/>
        </w:rPr>
      </w:pPr>
    </w:p>
    <w:p w14:paraId="13861862" w14:textId="0651656C"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We will support efforts, or take steps, to engage with central or local authorities, international organisations and civil society organisations to contribute to workable solutions on how transparency, proportionality and accountability in payments made to public security forces for the provision of security could be improved.</w:t>
      </w:r>
    </w:p>
    <w:p w14:paraId="1A622891" w14:textId="77777777" w:rsidR="00B160FD" w:rsidRPr="00765654" w:rsidRDefault="00B160FD" w:rsidP="0083496A">
      <w:pPr>
        <w:ind w:left="0"/>
        <w:jc w:val="both"/>
        <w:rPr>
          <w:rFonts w:asciiTheme="majorHAnsi" w:hAnsiTheme="majorHAnsi" w:cstheme="majorHAnsi"/>
          <w:sz w:val="22"/>
          <w:szCs w:val="22"/>
        </w:rPr>
      </w:pPr>
    </w:p>
    <w:p w14:paraId="42BB08A9" w14:textId="7BACA04B"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 xml:space="preserve">We will support efforts, or take steps, to engage with local authorities, international organisations and civil society organisations to avoid or minimise the exposure of vulnerable groups, </w:t>
      </w:r>
      <w:r w:rsidR="003E48BE">
        <w:rPr>
          <w:rFonts w:asciiTheme="majorHAnsi" w:hAnsiTheme="majorHAnsi" w:cstheme="majorHAnsi"/>
          <w:sz w:val="22"/>
          <w:szCs w:val="22"/>
        </w:rPr>
        <w:t xml:space="preserve">in particular, artisanal miners </w:t>
      </w:r>
      <w:r w:rsidRPr="00765654">
        <w:rPr>
          <w:rFonts w:asciiTheme="majorHAnsi" w:hAnsiTheme="majorHAnsi" w:cstheme="majorHAnsi"/>
          <w:sz w:val="22"/>
          <w:szCs w:val="22"/>
        </w:rPr>
        <w:t>where minerals in the supply chain are extracted through artisanal or small-scale mining, to adverse impacts associated with the presence of security forces, public or private, on mine sites.</w:t>
      </w:r>
    </w:p>
    <w:p w14:paraId="1C4807E6" w14:textId="77777777" w:rsidR="00B160FD" w:rsidRPr="00765654" w:rsidRDefault="00B160FD" w:rsidP="0083496A">
      <w:pPr>
        <w:ind w:left="0"/>
        <w:jc w:val="both"/>
        <w:rPr>
          <w:rFonts w:asciiTheme="majorHAnsi" w:hAnsiTheme="majorHAnsi" w:cstheme="majorHAnsi"/>
          <w:sz w:val="22"/>
          <w:szCs w:val="22"/>
        </w:rPr>
      </w:pPr>
    </w:p>
    <w:p w14:paraId="01630901" w14:textId="1547576D" w:rsidR="00B160FD" w:rsidRPr="00765654" w:rsidRDefault="00747D0D" w:rsidP="0083496A">
      <w:pPr>
        <w:ind w:left="0"/>
        <w:jc w:val="both"/>
        <w:rPr>
          <w:rFonts w:asciiTheme="majorHAnsi" w:hAnsiTheme="majorHAnsi" w:cstheme="majorHAnsi"/>
          <w:sz w:val="22"/>
          <w:szCs w:val="22"/>
        </w:rPr>
      </w:pPr>
      <w:r>
        <w:rPr>
          <w:rFonts w:asciiTheme="majorHAnsi" w:hAnsiTheme="majorHAnsi" w:cstheme="majorHAnsi"/>
          <w:sz w:val="22"/>
          <w:szCs w:val="22"/>
        </w:rPr>
        <w:t>W</w:t>
      </w:r>
      <w:r w:rsidRPr="00765654">
        <w:rPr>
          <w:rFonts w:asciiTheme="majorHAnsi" w:hAnsiTheme="majorHAnsi" w:cstheme="majorHAnsi"/>
          <w:sz w:val="22"/>
          <w:szCs w:val="22"/>
        </w:rPr>
        <w:t>here we identify that such a reasonable risk exists</w:t>
      </w:r>
      <w:r>
        <w:rPr>
          <w:rFonts w:asciiTheme="majorHAnsi" w:hAnsiTheme="majorHAnsi" w:cstheme="majorHAnsi"/>
          <w:sz w:val="22"/>
          <w:szCs w:val="22"/>
        </w:rPr>
        <w:t>,</w:t>
      </w:r>
      <w:r w:rsidRPr="00765654">
        <w:rPr>
          <w:rFonts w:asciiTheme="majorHAnsi" w:hAnsiTheme="majorHAnsi" w:cstheme="majorHAnsi"/>
          <w:sz w:val="22"/>
          <w:szCs w:val="22"/>
        </w:rPr>
        <w:t xml:space="preserve"> </w:t>
      </w:r>
      <w:r w:rsidR="00B160FD" w:rsidRPr="00765654">
        <w:rPr>
          <w:rFonts w:asciiTheme="majorHAnsi" w:hAnsiTheme="majorHAnsi" w:cstheme="majorHAnsi"/>
          <w:sz w:val="22"/>
          <w:szCs w:val="22"/>
        </w:rPr>
        <w:t xml:space="preserve">we will immediately devise, adopt and implement a risk management plan with upstream suppliers and other stakeholders to prevent or mitigate the risk of direct or indirect support to public or private security forces, as </w:t>
      </w:r>
      <w:r>
        <w:rPr>
          <w:rFonts w:asciiTheme="majorHAnsi" w:hAnsiTheme="majorHAnsi" w:cstheme="majorHAnsi"/>
          <w:sz w:val="22"/>
          <w:szCs w:val="22"/>
        </w:rPr>
        <w:t>defined above</w:t>
      </w:r>
      <w:r w:rsidR="00FE3516">
        <w:rPr>
          <w:rFonts w:asciiTheme="majorHAnsi" w:hAnsiTheme="majorHAnsi" w:cstheme="majorHAnsi"/>
          <w:sz w:val="22"/>
          <w:szCs w:val="22"/>
        </w:rPr>
        <w:t>.</w:t>
      </w:r>
      <w:r>
        <w:rPr>
          <w:rFonts w:asciiTheme="majorHAnsi" w:hAnsiTheme="majorHAnsi" w:cstheme="majorHAnsi"/>
          <w:sz w:val="22"/>
          <w:szCs w:val="22"/>
        </w:rPr>
        <w:t xml:space="preserve"> We will suspend or discontinue </w:t>
      </w:r>
      <w:r w:rsidR="00B160FD" w:rsidRPr="00765654">
        <w:rPr>
          <w:rFonts w:asciiTheme="majorHAnsi" w:hAnsiTheme="majorHAnsi" w:cstheme="majorHAnsi"/>
          <w:sz w:val="22"/>
          <w:szCs w:val="22"/>
        </w:rPr>
        <w:t>engagement with upstream suppliers after failed attempts at mitigation within six months from the adoption of the risk management plan.</w:t>
      </w:r>
      <w:r>
        <w:rPr>
          <w:rFonts w:asciiTheme="majorHAnsi" w:hAnsiTheme="majorHAnsi" w:cstheme="majorHAnsi"/>
          <w:sz w:val="22"/>
          <w:szCs w:val="22"/>
        </w:rPr>
        <w:t xml:space="preserve"> </w:t>
      </w:r>
    </w:p>
    <w:p w14:paraId="4F5D2834" w14:textId="77777777" w:rsidR="00B160FD" w:rsidRPr="00765654" w:rsidRDefault="00B160FD" w:rsidP="0083496A">
      <w:pPr>
        <w:ind w:left="0"/>
        <w:jc w:val="both"/>
        <w:rPr>
          <w:rFonts w:asciiTheme="majorHAnsi" w:hAnsiTheme="majorHAnsi" w:cstheme="majorHAnsi"/>
          <w:sz w:val="22"/>
          <w:szCs w:val="22"/>
        </w:rPr>
      </w:pPr>
    </w:p>
    <w:p w14:paraId="43DC3F9D" w14:textId="6CF19EC0" w:rsidR="00B160FD" w:rsidRPr="00747D0D" w:rsidRDefault="00B160FD" w:rsidP="0083496A">
      <w:pPr>
        <w:ind w:left="0"/>
        <w:jc w:val="both"/>
        <w:rPr>
          <w:rFonts w:asciiTheme="majorHAnsi" w:hAnsiTheme="majorHAnsi" w:cstheme="majorHAnsi"/>
          <w:b/>
          <w:sz w:val="22"/>
          <w:szCs w:val="22"/>
        </w:rPr>
      </w:pPr>
      <w:r w:rsidRPr="00747D0D">
        <w:rPr>
          <w:rFonts w:asciiTheme="majorHAnsi" w:hAnsiTheme="majorHAnsi" w:cstheme="majorHAnsi"/>
          <w:b/>
          <w:sz w:val="22"/>
          <w:szCs w:val="22"/>
        </w:rPr>
        <w:t>Regarding bribery</w:t>
      </w:r>
      <w:r w:rsidR="00747D0D">
        <w:rPr>
          <w:rFonts w:asciiTheme="majorHAnsi" w:hAnsiTheme="majorHAnsi" w:cstheme="majorHAnsi"/>
          <w:b/>
          <w:sz w:val="22"/>
          <w:szCs w:val="22"/>
        </w:rPr>
        <w:t>,</w:t>
      </w:r>
      <w:r w:rsidRPr="00747D0D">
        <w:rPr>
          <w:rFonts w:asciiTheme="majorHAnsi" w:hAnsiTheme="majorHAnsi" w:cstheme="majorHAnsi"/>
          <w:b/>
          <w:sz w:val="22"/>
          <w:szCs w:val="22"/>
        </w:rPr>
        <w:t xml:space="preserve"> fraudulent misrepresentation of the origin of minerals</w:t>
      </w:r>
      <w:r w:rsidR="00696FE3">
        <w:rPr>
          <w:rFonts w:asciiTheme="majorHAnsi" w:hAnsiTheme="majorHAnsi" w:cstheme="majorHAnsi"/>
          <w:b/>
          <w:sz w:val="22"/>
          <w:szCs w:val="22"/>
        </w:rPr>
        <w:t>,</w:t>
      </w:r>
      <w:r w:rsidR="00747D0D">
        <w:rPr>
          <w:rFonts w:asciiTheme="majorHAnsi" w:hAnsiTheme="majorHAnsi" w:cstheme="majorHAnsi"/>
          <w:b/>
          <w:sz w:val="22"/>
          <w:szCs w:val="22"/>
        </w:rPr>
        <w:t xml:space="preserve"> money </w:t>
      </w:r>
      <w:r w:rsidR="00747D0D" w:rsidRPr="00696FE3">
        <w:rPr>
          <w:rFonts w:asciiTheme="majorHAnsi" w:hAnsiTheme="majorHAnsi" w:cstheme="majorHAnsi"/>
          <w:b/>
          <w:sz w:val="22"/>
          <w:szCs w:val="22"/>
        </w:rPr>
        <w:t>laundering</w:t>
      </w:r>
      <w:r w:rsidR="00696FE3" w:rsidRPr="00696FE3">
        <w:rPr>
          <w:rFonts w:asciiTheme="majorHAnsi" w:hAnsiTheme="majorHAnsi" w:cstheme="majorHAnsi"/>
          <w:b/>
          <w:sz w:val="22"/>
          <w:szCs w:val="22"/>
        </w:rPr>
        <w:t xml:space="preserve"> </w:t>
      </w:r>
      <w:r w:rsidR="00696FE3" w:rsidRPr="008E2F8A">
        <w:rPr>
          <w:rFonts w:asciiTheme="majorHAnsi" w:hAnsiTheme="majorHAnsi" w:cstheme="majorHAnsi"/>
          <w:b/>
          <w:sz w:val="22"/>
          <w:szCs w:val="22"/>
        </w:rPr>
        <w:t>and payment of taxes, fees and royalties to governments</w:t>
      </w:r>
      <w:r w:rsidRPr="00747D0D">
        <w:rPr>
          <w:rFonts w:asciiTheme="majorHAnsi" w:hAnsiTheme="majorHAnsi" w:cstheme="majorHAnsi"/>
          <w:b/>
          <w:sz w:val="22"/>
          <w:szCs w:val="22"/>
        </w:rPr>
        <w:t>:</w:t>
      </w:r>
    </w:p>
    <w:p w14:paraId="4046C35C" w14:textId="0C6427C3"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We will not offer, promise, give or demand any bribes, and will resist the solicitation of bribes to conceal or disg</w:t>
      </w:r>
      <w:r w:rsidR="00747D0D">
        <w:rPr>
          <w:rFonts w:asciiTheme="majorHAnsi" w:hAnsiTheme="majorHAnsi" w:cstheme="majorHAnsi"/>
          <w:sz w:val="22"/>
          <w:szCs w:val="22"/>
        </w:rPr>
        <w:t xml:space="preserve">uise the origin of minerals, to </w:t>
      </w:r>
      <w:r w:rsidRPr="00765654">
        <w:rPr>
          <w:rFonts w:asciiTheme="majorHAnsi" w:hAnsiTheme="majorHAnsi" w:cstheme="majorHAnsi"/>
          <w:sz w:val="22"/>
          <w:szCs w:val="22"/>
        </w:rPr>
        <w:t xml:space="preserve">misrepresent taxes, fees and royalties paid to governments for the purposes of mineral extraction, trade, </w:t>
      </w:r>
      <w:r w:rsidR="00747D0D">
        <w:rPr>
          <w:rFonts w:asciiTheme="majorHAnsi" w:hAnsiTheme="majorHAnsi" w:cstheme="majorHAnsi"/>
          <w:sz w:val="22"/>
          <w:szCs w:val="22"/>
        </w:rPr>
        <w:t>handling, transport and export.</w:t>
      </w:r>
    </w:p>
    <w:p w14:paraId="5A7C19EF" w14:textId="77777777" w:rsidR="00B160FD" w:rsidRPr="00765654" w:rsidRDefault="00B160FD" w:rsidP="0083496A">
      <w:pPr>
        <w:ind w:left="0"/>
        <w:jc w:val="both"/>
        <w:rPr>
          <w:rFonts w:asciiTheme="majorHAnsi" w:hAnsiTheme="majorHAnsi" w:cstheme="majorHAnsi"/>
          <w:sz w:val="22"/>
          <w:szCs w:val="22"/>
        </w:rPr>
      </w:pPr>
    </w:p>
    <w:p w14:paraId="65FBDA43" w14:textId="7495E971" w:rsidR="00B160FD" w:rsidRPr="00765654"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 xml:space="preserve">We will support efforts, or take steps, to contribute to the effective elimination of money laundering where we identify a reasonable risk of money-laundering resulting from, or connected to, the extraction, trade, handling, transport or export of minerals derived from the illegal taxation or </w:t>
      </w:r>
      <w:r w:rsidRPr="00765654">
        <w:rPr>
          <w:rFonts w:asciiTheme="majorHAnsi" w:hAnsiTheme="majorHAnsi" w:cstheme="majorHAnsi"/>
          <w:sz w:val="22"/>
          <w:szCs w:val="22"/>
        </w:rPr>
        <w:lastRenderedPageBreak/>
        <w:t>extortion of minerals at points of access to mine sites, along transportation routes or at points where minerals are traded by upstream suppliers.</w:t>
      </w:r>
    </w:p>
    <w:p w14:paraId="09F12086" w14:textId="77777777" w:rsidR="00B160FD" w:rsidRPr="00765654" w:rsidRDefault="00B160FD" w:rsidP="0083496A">
      <w:pPr>
        <w:ind w:left="0"/>
        <w:jc w:val="both"/>
        <w:rPr>
          <w:rFonts w:asciiTheme="majorHAnsi" w:hAnsiTheme="majorHAnsi" w:cstheme="majorHAnsi"/>
          <w:sz w:val="22"/>
          <w:szCs w:val="22"/>
        </w:rPr>
      </w:pPr>
    </w:p>
    <w:p w14:paraId="1843D67C" w14:textId="4709BE28" w:rsidR="00696FE3" w:rsidRDefault="00B160FD" w:rsidP="0083496A">
      <w:pPr>
        <w:ind w:left="0"/>
        <w:jc w:val="both"/>
        <w:rPr>
          <w:rFonts w:asciiTheme="majorHAnsi" w:hAnsiTheme="majorHAnsi" w:cstheme="majorHAnsi"/>
          <w:sz w:val="22"/>
          <w:szCs w:val="22"/>
        </w:rPr>
      </w:pPr>
      <w:r w:rsidRPr="00765654">
        <w:rPr>
          <w:rFonts w:asciiTheme="majorHAnsi" w:hAnsiTheme="majorHAnsi" w:cstheme="majorHAnsi"/>
          <w:sz w:val="22"/>
          <w:szCs w:val="22"/>
        </w:rPr>
        <w:t>We will ensure that all taxes, fees, and royalties related to mineral extraction, trade and export from conflict-affected and high-risk areas are paid to governments</w:t>
      </w:r>
      <w:r w:rsidR="00696FE3">
        <w:rPr>
          <w:rFonts w:asciiTheme="majorHAnsi" w:hAnsiTheme="majorHAnsi" w:cstheme="majorHAnsi"/>
          <w:sz w:val="22"/>
          <w:szCs w:val="22"/>
        </w:rPr>
        <w:t>.</w:t>
      </w:r>
      <w:r w:rsidRPr="00765654">
        <w:rPr>
          <w:rFonts w:asciiTheme="majorHAnsi" w:hAnsiTheme="majorHAnsi" w:cstheme="majorHAnsi"/>
          <w:sz w:val="22"/>
          <w:szCs w:val="22"/>
        </w:rPr>
        <w:t xml:space="preserve"> </w:t>
      </w:r>
    </w:p>
    <w:p w14:paraId="7D881C2A" w14:textId="77777777" w:rsidR="00FE3516" w:rsidRDefault="00FE3516" w:rsidP="0083496A">
      <w:pPr>
        <w:ind w:left="0"/>
        <w:jc w:val="both"/>
        <w:rPr>
          <w:rFonts w:asciiTheme="majorHAnsi" w:hAnsiTheme="majorHAnsi" w:cstheme="majorHAnsi"/>
          <w:sz w:val="22"/>
          <w:szCs w:val="22"/>
        </w:rPr>
      </w:pPr>
    </w:p>
    <w:p w14:paraId="69AD7300" w14:textId="75F2BF90" w:rsidR="00B160FD" w:rsidRPr="00765654" w:rsidRDefault="00696FE3" w:rsidP="0083496A">
      <w:pPr>
        <w:ind w:left="0"/>
        <w:jc w:val="both"/>
        <w:rPr>
          <w:rFonts w:asciiTheme="majorHAnsi" w:hAnsiTheme="majorHAnsi" w:cstheme="majorHAnsi"/>
          <w:sz w:val="22"/>
          <w:szCs w:val="22"/>
        </w:rPr>
      </w:pPr>
      <w:r>
        <w:rPr>
          <w:rFonts w:asciiTheme="majorHAnsi" w:hAnsiTheme="majorHAnsi" w:cstheme="majorHAnsi"/>
          <w:sz w:val="22"/>
          <w:szCs w:val="22"/>
        </w:rPr>
        <w:t>[</w:t>
      </w:r>
      <w:r w:rsidRPr="008E2F8A">
        <w:rPr>
          <w:rFonts w:asciiTheme="majorHAnsi" w:hAnsiTheme="majorHAnsi" w:cstheme="majorHAnsi"/>
          <w:i/>
          <w:sz w:val="22"/>
          <w:szCs w:val="22"/>
        </w:rPr>
        <w:t xml:space="preserve">If you are a mining </w:t>
      </w:r>
      <w:r w:rsidR="00FE3516">
        <w:rPr>
          <w:rFonts w:asciiTheme="majorHAnsi" w:hAnsiTheme="majorHAnsi" w:cstheme="majorHAnsi"/>
          <w:i/>
          <w:sz w:val="22"/>
          <w:szCs w:val="22"/>
        </w:rPr>
        <w:t>business</w:t>
      </w:r>
      <w:r w:rsidRPr="008E2F8A">
        <w:rPr>
          <w:rFonts w:asciiTheme="majorHAnsi" w:hAnsiTheme="majorHAnsi" w:cstheme="majorHAnsi"/>
          <w:i/>
          <w:sz w:val="22"/>
          <w:szCs w:val="22"/>
        </w:rPr>
        <w:t xml:space="preserve"> operating in </w:t>
      </w:r>
      <w:r w:rsidR="00FE3516">
        <w:rPr>
          <w:rFonts w:asciiTheme="majorHAnsi" w:hAnsiTheme="majorHAnsi" w:cstheme="majorHAnsi"/>
          <w:i/>
          <w:sz w:val="22"/>
          <w:szCs w:val="22"/>
        </w:rPr>
        <w:t>a</w:t>
      </w:r>
      <w:r w:rsidRPr="008E2F8A">
        <w:rPr>
          <w:rFonts w:asciiTheme="majorHAnsi" w:hAnsiTheme="majorHAnsi" w:cstheme="majorHAnsi"/>
          <w:i/>
          <w:sz w:val="22"/>
          <w:szCs w:val="22"/>
        </w:rPr>
        <w:t xml:space="preserve"> country</w:t>
      </w:r>
      <w:r w:rsidR="00FE3516">
        <w:rPr>
          <w:rFonts w:asciiTheme="majorHAnsi" w:hAnsiTheme="majorHAnsi" w:cstheme="majorHAnsi"/>
          <w:i/>
          <w:sz w:val="22"/>
          <w:szCs w:val="22"/>
        </w:rPr>
        <w:t xml:space="preserve"> that is a member of the Extractive Industry Transparency Initiative (EITI)</w:t>
      </w:r>
      <w:r w:rsidR="00FE3516">
        <w:rPr>
          <w:rFonts w:asciiTheme="majorHAnsi" w:hAnsiTheme="majorHAnsi" w:cstheme="majorHAnsi"/>
          <w:sz w:val="22"/>
          <w:szCs w:val="22"/>
        </w:rPr>
        <w:t>]</w:t>
      </w:r>
      <w:r>
        <w:rPr>
          <w:rFonts w:asciiTheme="majorHAnsi" w:hAnsiTheme="majorHAnsi" w:cstheme="majorHAnsi"/>
          <w:sz w:val="22"/>
          <w:szCs w:val="22"/>
        </w:rPr>
        <w:t xml:space="preserve"> </w:t>
      </w:r>
      <w:r w:rsidR="00FE3516">
        <w:rPr>
          <w:rFonts w:asciiTheme="majorHAnsi" w:hAnsiTheme="majorHAnsi" w:cstheme="majorHAnsi"/>
          <w:sz w:val="22"/>
          <w:szCs w:val="22"/>
        </w:rPr>
        <w:t>W</w:t>
      </w:r>
      <w:r w:rsidR="00B160FD" w:rsidRPr="00765654">
        <w:rPr>
          <w:rFonts w:asciiTheme="majorHAnsi" w:hAnsiTheme="majorHAnsi" w:cstheme="majorHAnsi"/>
          <w:sz w:val="22"/>
          <w:szCs w:val="22"/>
        </w:rPr>
        <w:t>e commit to disclose such payments in accordance with the principles set forth under the Extractive Industry Transparency Initiative (EITI).</w:t>
      </w:r>
      <w:r>
        <w:rPr>
          <w:rFonts w:asciiTheme="majorHAnsi" w:hAnsiTheme="majorHAnsi" w:cstheme="majorHAnsi"/>
          <w:sz w:val="22"/>
          <w:szCs w:val="22"/>
        </w:rPr>
        <w:t>]</w:t>
      </w:r>
    </w:p>
    <w:p w14:paraId="2DE749F7" w14:textId="77777777" w:rsidR="00B160FD" w:rsidRPr="00765654" w:rsidRDefault="00B160FD" w:rsidP="0083496A">
      <w:pPr>
        <w:ind w:left="0"/>
        <w:jc w:val="both"/>
        <w:rPr>
          <w:rFonts w:asciiTheme="majorHAnsi" w:hAnsiTheme="majorHAnsi" w:cstheme="majorHAnsi"/>
          <w:sz w:val="22"/>
          <w:szCs w:val="22"/>
        </w:rPr>
      </w:pPr>
    </w:p>
    <w:p w14:paraId="6E6E13FF" w14:textId="0FBBE0F4" w:rsidR="00656D68" w:rsidRDefault="00696FE3" w:rsidP="0083496A">
      <w:pPr>
        <w:ind w:left="0"/>
        <w:jc w:val="both"/>
        <w:rPr>
          <w:rFonts w:asciiTheme="majorHAnsi" w:hAnsiTheme="majorHAnsi" w:cstheme="majorHAnsi"/>
          <w:sz w:val="22"/>
          <w:szCs w:val="22"/>
        </w:rPr>
      </w:pPr>
      <w:r>
        <w:rPr>
          <w:rFonts w:asciiTheme="majorHAnsi" w:hAnsiTheme="majorHAnsi" w:cstheme="majorHAnsi"/>
          <w:sz w:val="22"/>
          <w:szCs w:val="22"/>
        </w:rPr>
        <w:t>W</w:t>
      </w:r>
      <w:r w:rsidR="00B160FD" w:rsidRPr="00765654">
        <w:rPr>
          <w:rFonts w:asciiTheme="majorHAnsi" w:hAnsiTheme="majorHAnsi" w:cstheme="majorHAnsi"/>
          <w:sz w:val="22"/>
          <w:szCs w:val="22"/>
        </w:rPr>
        <w:t>e commit to engage with suppliers</w:t>
      </w:r>
      <w:r>
        <w:rPr>
          <w:rFonts w:asciiTheme="majorHAnsi" w:hAnsiTheme="majorHAnsi" w:cstheme="majorHAnsi"/>
          <w:sz w:val="22"/>
          <w:szCs w:val="22"/>
        </w:rPr>
        <w:t xml:space="preserve"> and, where relevant, with</w:t>
      </w:r>
      <w:r w:rsidR="00B160FD" w:rsidRPr="00765654">
        <w:rPr>
          <w:rFonts w:asciiTheme="majorHAnsi" w:hAnsiTheme="majorHAnsi" w:cstheme="majorHAnsi"/>
          <w:sz w:val="22"/>
          <w:szCs w:val="22"/>
        </w:rPr>
        <w:t xml:space="preserve"> central or local governmental authorities, international organisations, civil society and affected third parties, as appropriate, to improve and track performance with a view to preventing or mitigating risks of adverse </w:t>
      </w:r>
      <w:r>
        <w:rPr>
          <w:rFonts w:asciiTheme="majorHAnsi" w:hAnsiTheme="majorHAnsi" w:cstheme="majorHAnsi"/>
          <w:sz w:val="22"/>
          <w:szCs w:val="22"/>
        </w:rPr>
        <w:t xml:space="preserve">impacts through </w:t>
      </w:r>
      <w:proofErr w:type="spellStart"/>
      <w:r>
        <w:rPr>
          <w:rFonts w:asciiTheme="majorHAnsi" w:hAnsiTheme="majorHAnsi" w:cstheme="majorHAnsi"/>
          <w:sz w:val="22"/>
          <w:szCs w:val="22"/>
        </w:rPr>
        <w:t>measureable</w:t>
      </w:r>
      <w:proofErr w:type="spellEnd"/>
      <w:r>
        <w:rPr>
          <w:rFonts w:asciiTheme="majorHAnsi" w:hAnsiTheme="majorHAnsi" w:cstheme="majorHAnsi"/>
          <w:sz w:val="22"/>
          <w:szCs w:val="22"/>
        </w:rPr>
        <w:t xml:space="preserve"> </w:t>
      </w:r>
      <w:r w:rsidR="00B160FD" w:rsidRPr="00765654">
        <w:rPr>
          <w:rFonts w:asciiTheme="majorHAnsi" w:hAnsiTheme="majorHAnsi" w:cstheme="majorHAnsi"/>
          <w:sz w:val="22"/>
          <w:szCs w:val="22"/>
        </w:rPr>
        <w:t xml:space="preserve">steps taken in reasonable timescales. We will suspend or discontinue engagement with upstream suppliers after </w:t>
      </w:r>
      <w:r>
        <w:rPr>
          <w:rFonts w:asciiTheme="majorHAnsi" w:hAnsiTheme="majorHAnsi" w:cstheme="majorHAnsi"/>
          <w:sz w:val="22"/>
          <w:szCs w:val="22"/>
        </w:rPr>
        <w:t>failed attempts at mitigation.</w:t>
      </w:r>
    </w:p>
    <w:p w14:paraId="10020B09" w14:textId="77777777" w:rsidR="00696FE3" w:rsidRDefault="00696FE3" w:rsidP="0083496A">
      <w:pPr>
        <w:ind w:left="0"/>
        <w:jc w:val="both"/>
        <w:rPr>
          <w:rFonts w:asciiTheme="majorHAnsi" w:hAnsiTheme="majorHAnsi" w:cstheme="majorHAnsi"/>
          <w:sz w:val="22"/>
          <w:szCs w:val="22"/>
        </w:rPr>
      </w:pPr>
    </w:p>
    <w:p w14:paraId="396E133D" w14:textId="0F6857A5" w:rsidR="00696FE3" w:rsidRPr="00765654" w:rsidRDefault="0083496A" w:rsidP="0083496A">
      <w:pPr>
        <w:ind w:left="0"/>
        <w:jc w:val="both"/>
        <w:rPr>
          <w:rFonts w:asciiTheme="majorHAnsi" w:hAnsiTheme="majorHAnsi" w:cstheme="majorHAnsi"/>
          <w:sz w:val="22"/>
          <w:szCs w:val="22"/>
        </w:rPr>
      </w:pPr>
      <w:r>
        <w:rPr>
          <w:rFonts w:asciiTheme="majorHAnsi" w:hAnsiTheme="majorHAnsi" w:cstheme="majorHAnsi"/>
          <w:sz w:val="22"/>
          <w:szCs w:val="22"/>
        </w:rPr>
        <w:t>We c</w:t>
      </w:r>
      <w:r w:rsidR="00696FE3">
        <w:rPr>
          <w:rFonts w:asciiTheme="majorHAnsi" w:hAnsiTheme="majorHAnsi" w:cstheme="majorHAnsi"/>
          <w:sz w:val="22"/>
          <w:szCs w:val="22"/>
        </w:rPr>
        <w:t>ommit to making all necessary resources available for the implementation of the due diligence process</w:t>
      </w:r>
      <w:r w:rsidR="00696FE3" w:rsidRPr="00765654">
        <w:rPr>
          <w:rFonts w:asciiTheme="majorHAnsi" w:hAnsiTheme="majorHAnsi" w:cstheme="majorHAnsi"/>
          <w:color w:val="000000"/>
          <w:sz w:val="22"/>
          <w:szCs w:val="22"/>
        </w:rPr>
        <w:t>,</w:t>
      </w:r>
      <w:r w:rsidR="00696FE3">
        <w:rPr>
          <w:rFonts w:asciiTheme="majorHAnsi" w:hAnsiTheme="majorHAnsi" w:cstheme="majorHAnsi"/>
          <w:color w:val="000000"/>
          <w:sz w:val="22"/>
          <w:szCs w:val="22"/>
        </w:rPr>
        <w:t xml:space="preserve"> as</w:t>
      </w:r>
      <w:r w:rsidR="00696FE3" w:rsidRPr="00765654">
        <w:rPr>
          <w:rFonts w:asciiTheme="majorHAnsi" w:hAnsiTheme="majorHAnsi" w:cstheme="majorHAnsi"/>
          <w:color w:val="000000"/>
          <w:sz w:val="22"/>
          <w:szCs w:val="22"/>
        </w:rPr>
        <w:t xml:space="preserve"> </w:t>
      </w:r>
      <w:r w:rsidR="00696FE3" w:rsidRPr="00765654">
        <w:rPr>
          <w:rFonts w:asciiTheme="majorHAnsi" w:hAnsiTheme="majorHAnsi" w:cstheme="majorHAnsi"/>
          <w:sz w:val="22"/>
          <w:szCs w:val="22"/>
        </w:rPr>
        <w:t xml:space="preserve">reflected in our </w:t>
      </w:r>
      <w:r w:rsidR="00696FE3" w:rsidRPr="00765654">
        <w:rPr>
          <w:rFonts w:asciiTheme="majorHAnsi" w:hAnsiTheme="majorHAnsi" w:cstheme="majorHAnsi"/>
          <w:b/>
          <w:sz w:val="22"/>
          <w:szCs w:val="22"/>
        </w:rPr>
        <w:t>[</w:t>
      </w:r>
      <w:r>
        <w:rPr>
          <w:rFonts w:asciiTheme="majorHAnsi" w:hAnsiTheme="majorHAnsi" w:cstheme="majorHAnsi"/>
          <w:b/>
          <w:sz w:val="22"/>
          <w:szCs w:val="22"/>
        </w:rPr>
        <w:t xml:space="preserve">Name of Procedure, </w:t>
      </w:r>
      <w:proofErr w:type="gramStart"/>
      <w:r>
        <w:rPr>
          <w:rFonts w:asciiTheme="majorHAnsi" w:hAnsiTheme="majorHAnsi" w:cstheme="majorHAnsi"/>
          <w:b/>
          <w:sz w:val="22"/>
          <w:szCs w:val="22"/>
        </w:rPr>
        <w:t>e.g.</w:t>
      </w:r>
      <w:proofErr w:type="gramEnd"/>
      <w:r>
        <w:rPr>
          <w:rFonts w:asciiTheme="majorHAnsi" w:hAnsiTheme="majorHAnsi" w:cstheme="majorHAnsi"/>
          <w:b/>
          <w:sz w:val="22"/>
          <w:szCs w:val="22"/>
        </w:rPr>
        <w:t xml:space="preserve"> </w:t>
      </w:r>
      <w:r w:rsidR="00696FE3">
        <w:rPr>
          <w:rFonts w:asciiTheme="majorHAnsi" w:hAnsiTheme="majorHAnsi" w:cstheme="majorHAnsi"/>
          <w:b/>
          <w:sz w:val="22"/>
          <w:szCs w:val="22"/>
        </w:rPr>
        <w:t>Due Diligence</w:t>
      </w:r>
      <w:r w:rsidR="00696FE3" w:rsidRPr="00765654">
        <w:rPr>
          <w:rFonts w:asciiTheme="majorHAnsi" w:hAnsiTheme="majorHAnsi" w:cstheme="majorHAnsi"/>
          <w:b/>
          <w:sz w:val="22"/>
          <w:szCs w:val="22"/>
        </w:rPr>
        <w:t xml:space="preserve"> Procedure]</w:t>
      </w:r>
      <w:r w:rsidR="00696FE3" w:rsidRPr="00765654">
        <w:rPr>
          <w:rFonts w:asciiTheme="majorHAnsi" w:hAnsiTheme="majorHAnsi" w:cstheme="majorHAnsi"/>
          <w:sz w:val="22"/>
          <w:szCs w:val="22"/>
        </w:rPr>
        <w:t>,</w:t>
      </w:r>
      <w:r w:rsidR="00696FE3" w:rsidRPr="00765654">
        <w:rPr>
          <w:rFonts w:asciiTheme="majorHAnsi" w:hAnsiTheme="majorHAnsi" w:cstheme="majorHAnsi"/>
          <w:color w:val="000000"/>
          <w:sz w:val="22"/>
          <w:szCs w:val="22"/>
        </w:rPr>
        <w:t xml:space="preserve"> which provides </w:t>
      </w:r>
      <w:r w:rsidR="00696FE3">
        <w:rPr>
          <w:rFonts w:asciiTheme="majorHAnsi" w:hAnsiTheme="majorHAnsi" w:cstheme="majorHAnsi"/>
          <w:color w:val="000000"/>
          <w:sz w:val="22"/>
          <w:szCs w:val="22"/>
        </w:rPr>
        <w:t>detailed guidance for the implementation of the</w:t>
      </w:r>
      <w:r w:rsidR="00410749">
        <w:rPr>
          <w:rFonts w:asciiTheme="majorHAnsi" w:hAnsiTheme="majorHAnsi" w:cstheme="majorHAnsi"/>
          <w:color w:val="000000"/>
          <w:sz w:val="22"/>
          <w:szCs w:val="22"/>
        </w:rPr>
        <w:t xml:space="preserve"> </w:t>
      </w:r>
      <w:r w:rsidR="00696FE3">
        <w:rPr>
          <w:rFonts w:asciiTheme="majorHAnsi" w:hAnsiTheme="majorHAnsi" w:cstheme="majorHAnsi"/>
          <w:color w:val="000000"/>
          <w:sz w:val="22"/>
          <w:szCs w:val="22"/>
        </w:rPr>
        <w:t>5-step due diligence framework</w:t>
      </w:r>
      <w:r w:rsidR="00410749">
        <w:rPr>
          <w:rFonts w:asciiTheme="majorHAnsi" w:hAnsiTheme="majorHAnsi" w:cstheme="majorHAnsi"/>
          <w:color w:val="000000"/>
          <w:sz w:val="22"/>
          <w:szCs w:val="22"/>
        </w:rPr>
        <w:t xml:space="preserve"> of the OECD Guidance</w:t>
      </w:r>
      <w:r w:rsidR="00696FE3">
        <w:rPr>
          <w:rFonts w:asciiTheme="majorHAnsi" w:hAnsiTheme="majorHAnsi" w:cstheme="majorHAnsi"/>
          <w:color w:val="000000"/>
          <w:sz w:val="22"/>
          <w:szCs w:val="22"/>
        </w:rPr>
        <w:t xml:space="preserve"> within our business.</w:t>
      </w:r>
      <w:r w:rsidR="00696FE3" w:rsidRPr="00765654">
        <w:rPr>
          <w:rFonts w:asciiTheme="majorHAnsi" w:hAnsiTheme="majorHAnsi" w:cstheme="majorHAnsi"/>
          <w:sz w:val="22"/>
          <w:szCs w:val="22"/>
        </w:rPr>
        <w:t xml:space="preserve"> </w:t>
      </w:r>
    </w:p>
    <w:p w14:paraId="4EE4E320" w14:textId="77777777" w:rsidR="00696FE3" w:rsidRPr="00765654" w:rsidRDefault="00696FE3" w:rsidP="0083496A">
      <w:pPr>
        <w:ind w:left="0" w:firstLine="567"/>
        <w:jc w:val="both"/>
        <w:rPr>
          <w:rFonts w:asciiTheme="majorHAnsi" w:hAnsiTheme="majorHAnsi" w:cstheme="majorHAnsi"/>
          <w:sz w:val="22"/>
          <w:szCs w:val="22"/>
        </w:rPr>
      </w:pPr>
    </w:p>
    <w:p w14:paraId="3DEA25E8" w14:textId="3CBF136E" w:rsidR="00696FE3" w:rsidRDefault="00696FE3" w:rsidP="0083496A">
      <w:pPr>
        <w:ind w:left="0"/>
        <w:jc w:val="both"/>
        <w:rPr>
          <w:rFonts w:asciiTheme="majorHAnsi" w:hAnsiTheme="majorHAnsi" w:cstheme="majorHAnsi"/>
          <w:sz w:val="22"/>
          <w:szCs w:val="22"/>
        </w:rPr>
      </w:pPr>
      <w:r w:rsidRPr="00765654">
        <w:rPr>
          <w:rFonts w:asciiTheme="majorHAnsi" w:hAnsiTheme="majorHAnsi" w:cstheme="majorHAnsi"/>
          <w:b/>
          <w:sz w:val="22"/>
          <w:szCs w:val="22"/>
        </w:rPr>
        <w:t xml:space="preserve">[NAME OF BUSINESS] </w:t>
      </w:r>
      <w:r w:rsidRPr="00765654">
        <w:rPr>
          <w:rFonts w:asciiTheme="majorHAnsi" w:hAnsiTheme="majorHAnsi" w:cstheme="majorHAnsi"/>
          <w:sz w:val="22"/>
          <w:szCs w:val="22"/>
        </w:rPr>
        <w:t>requires executives, management and employees</w:t>
      </w:r>
      <w:r>
        <w:rPr>
          <w:rFonts w:asciiTheme="majorHAnsi" w:hAnsiTheme="majorHAnsi" w:cstheme="majorHAnsi"/>
          <w:sz w:val="22"/>
          <w:szCs w:val="22"/>
        </w:rPr>
        <w:t>, as well as contractors and suppliers,</w:t>
      </w:r>
      <w:r w:rsidRPr="00765654">
        <w:rPr>
          <w:rFonts w:asciiTheme="majorHAnsi" w:hAnsiTheme="majorHAnsi" w:cstheme="majorHAnsi"/>
          <w:sz w:val="22"/>
          <w:szCs w:val="22"/>
        </w:rPr>
        <w:t xml:space="preserve"> to be familiar with their responsibilities and adhere to this Policy and related procedures. </w:t>
      </w:r>
    </w:p>
    <w:p w14:paraId="09592F77" w14:textId="3D7EAD2A" w:rsidR="00305167" w:rsidRDefault="00305167" w:rsidP="0083496A">
      <w:pPr>
        <w:ind w:left="0"/>
        <w:jc w:val="both"/>
        <w:rPr>
          <w:rFonts w:asciiTheme="majorHAnsi" w:hAnsiTheme="majorHAnsi" w:cstheme="majorHAnsi"/>
          <w:sz w:val="22"/>
          <w:szCs w:val="22"/>
        </w:rPr>
      </w:pPr>
    </w:p>
    <w:p w14:paraId="3FC6024B" w14:textId="4D261F89" w:rsidR="00305167" w:rsidRPr="008E2F8A" w:rsidRDefault="00305167" w:rsidP="008E2F8A">
      <w:pPr>
        <w:ind w:left="0"/>
        <w:jc w:val="both"/>
        <w:rPr>
          <w:color w:val="000000"/>
          <w:sz w:val="22"/>
          <w:szCs w:val="22"/>
        </w:rPr>
      </w:pPr>
      <w:r>
        <w:rPr>
          <w:color w:val="000000"/>
          <w:sz w:val="22"/>
          <w:szCs w:val="22"/>
        </w:rPr>
        <w:t xml:space="preserve">This policy </w:t>
      </w:r>
      <w:r w:rsidRPr="009E2E2D">
        <w:rPr>
          <w:color w:val="000000"/>
          <w:sz w:val="22"/>
          <w:szCs w:val="22"/>
        </w:rPr>
        <w:t>will be reviewed and updated on a regular basis.</w:t>
      </w:r>
    </w:p>
    <w:p w14:paraId="5ABD029B" w14:textId="77777777" w:rsidR="00696FE3" w:rsidRPr="00696FE3" w:rsidRDefault="00696FE3" w:rsidP="0083496A">
      <w:pPr>
        <w:ind w:left="0" w:firstLine="567"/>
        <w:jc w:val="both"/>
        <w:rPr>
          <w:rFonts w:asciiTheme="majorHAnsi" w:hAnsiTheme="majorHAnsi" w:cstheme="majorHAnsi"/>
          <w:i/>
          <w:sz w:val="22"/>
          <w:szCs w:val="22"/>
        </w:rPr>
      </w:pPr>
    </w:p>
    <w:p w14:paraId="2019DF89" w14:textId="77777777" w:rsidR="00696FE3" w:rsidRPr="00696FE3" w:rsidRDefault="00696FE3" w:rsidP="0083496A">
      <w:pPr>
        <w:ind w:left="0"/>
        <w:jc w:val="both"/>
        <w:rPr>
          <w:rFonts w:asciiTheme="majorHAnsi" w:hAnsiTheme="majorHAnsi" w:cstheme="majorHAnsi"/>
          <w:sz w:val="22"/>
          <w:szCs w:val="22"/>
        </w:rPr>
      </w:pPr>
      <w:r w:rsidRPr="00696FE3">
        <w:rPr>
          <w:rFonts w:asciiTheme="majorHAnsi" w:hAnsiTheme="majorHAnsi" w:cstheme="majorHAnsi"/>
          <w:sz w:val="22"/>
          <w:szCs w:val="22"/>
        </w:rPr>
        <w:t>Date:</w:t>
      </w:r>
    </w:p>
    <w:p w14:paraId="1BA13B7A" w14:textId="77777777" w:rsidR="00696FE3" w:rsidRPr="00696FE3" w:rsidRDefault="00696FE3" w:rsidP="0083496A">
      <w:pPr>
        <w:ind w:left="0"/>
        <w:jc w:val="both"/>
        <w:rPr>
          <w:rFonts w:asciiTheme="majorHAnsi" w:hAnsiTheme="majorHAnsi" w:cstheme="majorHAnsi"/>
          <w:sz w:val="22"/>
          <w:szCs w:val="22"/>
        </w:rPr>
      </w:pPr>
      <w:r w:rsidRPr="00696FE3">
        <w:rPr>
          <w:rFonts w:asciiTheme="majorHAnsi" w:hAnsiTheme="majorHAnsi" w:cstheme="majorHAnsi"/>
          <w:sz w:val="22"/>
          <w:szCs w:val="22"/>
        </w:rPr>
        <w:t>Signature:</w:t>
      </w:r>
    </w:p>
    <w:p w14:paraId="13736D59" w14:textId="77777777" w:rsidR="00696FE3" w:rsidRPr="00696FE3" w:rsidRDefault="00696FE3" w:rsidP="0083496A">
      <w:pPr>
        <w:ind w:left="0"/>
        <w:jc w:val="both"/>
        <w:rPr>
          <w:rFonts w:asciiTheme="majorHAnsi" w:hAnsiTheme="majorHAnsi" w:cstheme="majorHAnsi"/>
          <w:sz w:val="22"/>
          <w:szCs w:val="22"/>
        </w:rPr>
      </w:pPr>
    </w:p>
    <w:p w14:paraId="4E36A162" w14:textId="77777777" w:rsidR="00656D68" w:rsidRPr="00696FE3" w:rsidRDefault="00656D68" w:rsidP="0083496A">
      <w:pPr>
        <w:ind w:left="0" w:firstLine="567"/>
        <w:jc w:val="both"/>
        <w:rPr>
          <w:rFonts w:asciiTheme="majorHAnsi" w:hAnsiTheme="majorHAnsi" w:cstheme="majorHAnsi"/>
          <w:sz w:val="22"/>
          <w:szCs w:val="22"/>
        </w:rPr>
      </w:pPr>
    </w:p>
    <w:tbl>
      <w:tblPr>
        <w:tblStyle w:val="a0"/>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88"/>
      </w:tblGrid>
      <w:tr w:rsidR="00656D68" w:rsidRPr="00FE3516" w14:paraId="6924587A" w14:textId="77777777">
        <w:tc>
          <w:tcPr>
            <w:tcW w:w="9288" w:type="dxa"/>
            <w:shd w:val="clear" w:color="auto" w:fill="E4D2F2"/>
          </w:tcPr>
          <w:p w14:paraId="20DA1355" w14:textId="77777777" w:rsidR="00656D68" w:rsidRPr="00FE3516" w:rsidRDefault="00FA1904" w:rsidP="0083496A">
            <w:pPr>
              <w:ind w:left="0"/>
              <w:jc w:val="both"/>
              <w:rPr>
                <w:rFonts w:asciiTheme="majorHAnsi" w:hAnsiTheme="majorHAnsi" w:cstheme="majorHAnsi"/>
                <w:iCs/>
              </w:rPr>
            </w:pPr>
            <w:r w:rsidRPr="00FE3516">
              <w:rPr>
                <w:rFonts w:asciiTheme="majorHAnsi" w:hAnsiTheme="majorHAnsi" w:cstheme="majorHAnsi"/>
                <w:b/>
                <w:iCs/>
              </w:rPr>
              <w:t>DISCLAIMER:</w:t>
            </w:r>
            <w:r w:rsidRPr="00FE3516">
              <w:rPr>
                <w:rFonts w:asciiTheme="majorHAnsi" w:hAnsiTheme="majorHAnsi" w:cstheme="majorHAnsi"/>
                <w:iCs/>
              </w:rPr>
              <w:t xml:space="preserve"> The information provided in this document is intended only to provide general guidance. It is not intended as a customized recommendation, nor does it constitute legal advice. TDI Sustainability and other associated or affiliated individuals assume no liability on the basis of the information provided in this document. The document can only be used for non-commercial purposes. It is the responsibility of </w:t>
            </w:r>
            <w:r w:rsidR="00FE3516">
              <w:rPr>
                <w:rFonts w:asciiTheme="majorHAnsi" w:hAnsiTheme="majorHAnsi" w:cstheme="majorHAnsi"/>
                <w:iCs/>
              </w:rPr>
              <w:t xml:space="preserve">businesses </w:t>
            </w:r>
            <w:r w:rsidRPr="00FE3516">
              <w:rPr>
                <w:rFonts w:asciiTheme="majorHAnsi" w:hAnsiTheme="majorHAnsi" w:cstheme="majorHAnsi"/>
                <w:iCs/>
              </w:rPr>
              <w:t>when following this guidance to ensure that they are compliant with all applicable laws and regulations.</w:t>
            </w:r>
          </w:p>
        </w:tc>
      </w:tr>
    </w:tbl>
    <w:p w14:paraId="32632DCB" w14:textId="77777777" w:rsidR="00656D68" w:rsidRPr="00410749" w:rsidRDefault="00656D68" w:rsidP="0083496A">
      <w:pPr>
        <w:ind w:left="0"/>
        <w:jc w:val="both"/>
        <w:rPr>
          <w:rFonts w:asciiTheme="majorHAnsi" w:hAnsiTheme="majorHAnsi" w:cstheme="majorHAnsi"/>
          <w:i/>
          <w:sz w:val="22"/>
          <w:szCs w:val="22"/>
        </w:rPr>
      </w:pPr>
    </w:p>
    <w:sectPr w:rsidR="00656D68" w:rsidRPr="00410749">
      <w:headerReference w:type="default" r:id="rId8"/>
      <w:footerReference w:type="even" r:id="rId9"/>
      <w:footerReference w:type="default" r:id="rId10"/>
      <w:headerReference w:type="first" r:id="rId11"/>
      <w:footerReference w:type="first" r:id="rId12"/>
      <w:pgSz w:w="11900" w:h="16840"/>
      <w:pgMar w:top="1482" w:right="1388"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3EA36" w14:textId="77777777" w:rsidR="00876853" w:rsidRDefault="00876853">
      <w:pPr>
        <w:spacing w:line="240" w:lineRule="auto"/>
      </w:pPr>
      <w:r>
        <w:separator/>
      </w:r>
    </w:p>
  </w:endnote>
  <w:endnote w:type="continuationSeparator" w:id="0">
    <w:p w14:paraId="3F7B9BE4" w14:textId="77777777" w:rsidR="00876853" w:rsidRDefault="00876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2289" w14:textId="77777777" w:rsidR="00656D68" w:rsidRDefault="00FA190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4CDDC234" w14:textId="77777777" w:rsidR="00656D68" w:rsidRDefault="00656D68">
    <w:pPr>
      <w:pBdr>
        <w:top w:val="nil"/>
        <w:left w:val="nil"/>
        <w:bottom w:val="nil"/>
        <w:right w:val="nil"/>
        <w:between w:val="nil"/>
      </w:pBdr>
      <w:tabs>
        <w:tab w:val="center" w:pos="4680"/>
        <w:tab w:val="right" w:pos="9360"/>
      </w:tabs>
      <w:spacing w:line="240" w:lineRule="auto"/>
      <w:ind w:right="360"/>
      <w:rPr>
        <w:color w:val="000000"/>
      </w:rPr>
    </w:pPr>
  </w:p>
  <w:p w14:paraId="727015F6" w14:textId="77777777" w:rsidR="00656D68" w:rsidRDefault="00656D68">
    <w:pPr>
      <w:pBdr>
        <w:top w:val="nil"/>
        <w:left w:val="nil"/>
        <w:bottom w:val="nil"/>
        <w:right w:val="nil"/>
        <w:between w:val="nil"/>
      </w:pBdr>
      <w:tabs>
        <w:tab w:val="center" w:pos="4680"/>
        <w:tab w:val="right" w:pos="9360"/>
      </w:tabs>
      <w:spacing w:line="240" w:lineRule="auto"/>
      <w:rPr>
        <w:color w:val="000000"/>
      </w:rPr>
    </w:pPr>
  </w:p>
  <w:p w14:paraId="51076CBC" w14:textId="77777777" w:rsidR="00313B1A" w:rsidRDefault="00313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2566" w14:textId="77777777" w:rsidR="00656D68" w:rsidRDefault="00190A09">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r>
    <w:r w:rsidR="00FA1904">
      <w:rPr>
        <w:color w:val="000000"/>
      </w:rPr>
      <w:fldChar w:fldCharType="begin"/>
    </w:r>
    <w:r w:rsidR="00FA1904">
      <w:rPr>
        <w:color w:val="000000"/>
      </w:rPr>
      <w:instrText>PAGE</w:instrText>
    </w:r>
    <w:r w:rsidR="00FA1904">
      <w:rPr>
        <w:color w:val="000000"/>
      </w:rPr>
      <w:fldChar w:fldCharType="separate"/>
    </w:r>
    <w:r w:rsidR="00410749">
      <w:rPr>
        <w:noProof/>
        <w:color w:val="000000"/>
      </w:rPr>
      <w:t>2</w:t>
    </w:r>
    <w:r w:rsidR="00FA1904">
      <w:rPr>
        <w:color w:val="000000"/>
      </w:rPr>
      <w:fldChar w:fldCharType="end"/>
    </w:r>
  </w:p>
  <w:p w14:paraId="4DDE9E15" w14:textId="77777777" w:rsidR="00656D68" w:rsidRDefault="00656D68">
    <w:pPr>
      <w:pBdr>
        <w:top w:val="nil"/>
        <w:left w:val="nil"/>
        <w:bottom w:val="nil"/>
        <w:right w:val="nil"/>
        <w:between w:val="nil"/>
      </w:pBdr>
      <w:tabs>
        <w:tab w:val="center" w:pos="4680"/>
        <w:tab w:val="right" w:pos="9360"/>
      </w:tabs>
      <w:spacing w:line="240" w:lineRule="auto"/>
      <w:ind w:right="360"/>
      <w:rPr>
        <w:color w:val="000000"/>
      </w:rPr>
    </w:pPr>
  </w:p>
  <w:p w14:paraId="70637846" w14:textId="77777777" w:rsidR="00656D68" w:rsidRDefault="00FA1904">
    <w:pPr>
      <w:pBdr>
        <w:top w:val="nil"/>
        <w:left w:val="nil"/>
        <w:bottom w:val="nil"/>
        <w:right w:val="nil"/>
        <w:between w:val="nil"/>
      </w:pBdr>
      <w:tabs>
        <w:tab w:val="center" w:pos="4680"/>
        <w:tab w:val="right" w:pos="9360"/>
      </w:tabs>
      <w:spacing w:line="240" w:lineRule="auto"/>
      <w:rPr>
        <w:i/>
        <w:color w:val="000000"/>
        <w:sz w:val="20"/>
        <w:szCs w:val="20"/>
      </w:rPr>
    </w:pPr>
    <w:r>
      <w:rPr>
        <w:i/>
        <w:color w:val="000000"/>
        <w:sz w:val="20"/>
        <w:szCs w:val="20"/>
      </w:rPr>
      <w:tab/>
    </w:r>
    <w:r>
      <w:rPr>
        <w:noProof/>
        <w:lang w:val="en-US"/>
      </w:rPr>
      <w:drawing>
        <wp:anchor distT="0" distB="0" distL="0" distR="0" simplePos="0" relativeHeight="251658240" behindDoc="0" locked="0" layoutInCell="1" hidden="0" allowOverlap="1" wp14:anchorId="00B2D0E1" wp14:editId="6703F0DF">
          <wp:simplePos x="0" y="0"/>
          <wp:positionH relativeFrom="column">
            <wp:posOffset>5901690</wp:posOffset>
          </wp:positionH>
          <wp:positionV relativeFrom="paragraph">
            <wp:posOffset>142028</wp:posOffset>
          </wp:positionV>
          <wp:extent cx="482600" cy="488315"/>
          <wp:effectExtent l="0" t="0" r="0" b="0"/>
          <wp:wrapSquare wrapText="bothSides" distT="0" distB="0" distL="0" distR="0"/>
          <wp:docPr id="1"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315"/>
                  </a:xfrm>
                  <a:prstGeom prst="rect">
                    <a:avLst/>
                  </a:prstGeom>
                  <a:ln/>
                </pic:spPr>
              </pic:pic>
            </a:graphicData>
          </a:graphic>
        </wp:anchor>
      </w:drawing>
    </w:r>
  </w:p>
  <w:p w14:paraId="3309FDCE" w14:textId="77777777" w:rsidR="00656D68" w:rsidRDefault="00FA1904">
    <w:pPr>
      <w:pBdr>
        <w:top w:val="nil"/>
        <w:left w:val="nil"/>
        <w:bottom w:val="nil"/>
        <w:right w:val="nil"/>
        <w:between w:val="nil"/>
      </w:pBdr>
      <w:tabs>
        <w:tab w:val="center" w:pos="4680"/>
        <w:tab w:val="right" w:pos="9360"/>
      </w:tabs>
      <w:spacing w:line="240" w:lineRule="auto"/>
      <w:ind w:left="0"/>
      <w:rPr>
        <w:i/>
        <w:color w:val="000000"/>
        <w:sz w:val="20"/>
        <w:szCs w:val="20"/>
      </w:rPr>
    </w:pPr>
    <w:r>
      <w:rPr>
        <w:i/>
        <w:color w:val="000000"/>
        <w:sz w:val="20"/>
        <w:szCs w:val="20"/>
      </w:rPr>
      <w:tab/>
      <w:t>Created by TDI Sustainability for the Gemstones and Jewellery Community Platform</w:t>
    </w:r>
  </w:p>
  <w:p w14:paraId="215AA2BA" w14:textId="77777777" w:rsidR="00656D68" w:rsidRDefault="00FA1904">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w:t>
    </w:r>
    <w:r w:rsidR="00190A09">
      <w:rPr>
        <w:i/>
        <w:color w:val="000000"/>
        <w:sz w:val="20"/>
        <w:szCs w:val="20"/>
      </w:rPr>
      <w:t>s</w:t>
    </w:r>
    <w:r>
      <w:rPr>
        <w:i/>
        <w:color w:val="000000"/>
        <w:sz w:val="20"/>
        <w:szCs w:val="20"/>
      </w:rPr>
      <w:t>-and-jewellery.com   |   www.tdi-sustainability.com</w:t>
    </w:r>
  </w:p>
  <w:p w14:paraId="2D2179B6" w14:textId="77777777" w:rsidR="00313B1A" w:rsidRDefault="00313B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B83D" w14:textId="77777777" w:rsidR="00656D68" w:rsidRDefault="00FA190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10749">
      <w:rPr>
        <w:noProof/>
        <w:color w:val="000000"/>
      </w:rPr>
      <w:t>1</w:t>
    </w:r>
    <w:r>
      <w:rPr>
        <w:color w:val="000000"/>
      </w:rPr>
      <w:fldChar w:fldCharType="end"/>
    </w:r>
  </w:p>
  <w:p w14:paraId="3B3DA8AB" w14:textId="77777777" w:rsidR="00656D68" w:rsidRDefault="00656D68">
    <w:pPr>
      <w:pBdr>
        <w:top w:val="nil"/>
        <w:left w:val="nil"/>
        <w:bottom w:val="nil"/>
        <w:right w:val="nil"/>
        <w:between w:val="nil"/>
      </w:pBdr>
      <w:tabs>
        <w:tab w:val="center" w:pos="4680"/>
        <w:tab w:val="right" w:pos="9360"/>
      </w:tabs>
      <w:spacing w:line="240" w:lineRule="auto"/>
      <w:ind w:right="360"/>
      <w:rPr>
        <w:color w:val="000000"/>
      </w:rPr>
    </w:pPr>
  </w:p>
  <w:p w14:paraId="477C7DEA" w14:textId="77777777" w:rsidR="00656D68" w:rsidRDefault="00FA1904">
    <w:pPr>
      <w:pBdr>
        <w:top w:val="nil"/>
        <w:left w:val="nil"/>
        <w:bottom w:val="nil"/>
        <w:right w:val="nil"/>
        <w:between w:val="nil"/>
      </w:pBdr>
      <w:tabs>
        <w:tab w:val="center" w:pos="4680"/>
        <w:tab w:val="right" w:pos="9360"/>
      </w:tabs>
      <w:spacing w:line="240" w:lineRule="auto"/>
      <w:ind w:left="0"/>
      <w:rPr>
        <w:i/>
        <w:color w:val="000000"/>
        <w:sz w:val="20"/>
        <w:szCs w:val="20"/>
      </w:rPr>
    </w:pPr>
    <w:r>
      <w:rPr>
        <w:color w:val="000000"/>
      </w:rPr>
      <w:tab/>
    </w:r>
    <w:r>
      <w:rPr>
        <w:i/>
        <w:color w:val="000000"/>
        <w:sz w:val="20"/>
        <w:szCs w:val="20"/>
      </w:rPr>
      <w:t>Created by TDI Sustainability for the Gemstones and Jewellery Community Platform</w:t>
    </w:r>
    <w:r>
      <w:rPr>
        <w:noProof/>
        <w:lang w:val="en-US"/>
      </w:rPr>
      <w:drawing>
        <wp:anchor distT="0" distB="0" distL="0" distR="0" simplePos="0" relativeHeight="251659264" behindDoc="0" locked="0" layoutInCell="1" hidden="0" allowOverlap="1" wp14:anchorId="526DABE8" wp14:editId="5468B7F3">
          <wp:simplePos x="0" y="0"/>
          <wp:positionH relativeFrom="column">
            <wp:posOffset>5855335</wp:posOffset>
          </wp:positionH>
          <wp:positionV relativeFrom="paragraph">
            <wp:posOffset>93345</wp:posOffset>
          </wp:positionV>
          <wp:extent cx="482600" cy="488787"/>
          <wp:effectExtent l="0" t="0" r="0" b="0"/>
          <wp:wrapSquare wrapText="bothSides" distT="0" distB="0" distL="0" distR="0"/>
          <wp:docPr id="3" name="image1.png" descr="A picture containing chain,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hain, necklace&#10;&#10;Description automatically generated"/>
                  <pic:cNvPicPr preferRelativeResize="0"/>
                </pic:nvPicPr>
                <pic:blipFill>
                  <a:blip r:embed="rId1"/>
                  <a:srcRect/>
                  <a:stretch>
                    <a:fillRect/>
                  </a:stretch>
                </pic:blipFill>
                <pic:spPr>
                  <a:xfrm>
                    <a:off x="0" y="0"/>
                    <a:ext cx="482600" cy="488787"/>
                  </a:xfrm>
                  <a:prstGeom prst="rect">
                    <a:avLst/>
                  </a:prstGeom>
                  <a:ln/>
                </pic:spPr>
              </pic:pic>
            </a:graphicData>
          </a:graphic>
        </wp:anchor>
      </w:drawing>
    </w:r>
  </w:p>
  <w:p w14:paraId="0DF75307" w14:textId="77777777" w:rsidR="00656D68" w:rsidRDefault="00FA1904">
    <w:pPr>
      <w:pBdr>
        <w:top w:val="nil"/>
        <w:left w:val="nil"/>
        <w:bottom w:val="nil"/>
        <w:right w:val="nil"/>
        <w:between w:val="nil"/>
      </w:pBdr>
      <w:tabs>
        <w:tab w:val="center" w:pos="4680"/>
        <w:tab w:val="right" w:pos="9360"/>
      </w:tabs>
      <w:spacing w:line="240" w:lineRule="auto"/>
      <w:ind w:left="0"/>
      <w:jc w:val="center"/>
      <w:rPr>
        <w:i/>
        <w:color w:val="000000"/>
        <w:sz w:val="20"/>
        <w:szCs w:val="20"/>
      </w:rPr>
    </w:pPr>
    <w:r>
      <w:rPr>
        <w:i/>
        <w:color w:val="000000"/>
        <w:sz w:val="20"/>
        <w:szCs w:val="20"/>
      </w:rPr>
      <w:t>www.gemstones-and-jewellery.com   |   www.tdi-sustainability.com</w:t>
    </w:r>
  </w:p>
  <w:p w14:paraId="6438DEED" w14:textId="77777777" w:rsidR="00313B1A" w:rsidRDefault="00313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1F8EC" w14:textId="77777777" w:rsidR="00876853" w:rsidRDefault="00876853">
      <w:pPr>
        <w:spacing w:line="240" w:lineRule="auto"/>
      </w:pPr>
      <w:r>
        <w:separator/>
      </w:r>
    </w:p>
  </w:footnote>
  <w:footnote w:type="continuationSeparator" w:id="0">
    <w:p w14:paraId="59242C8D" w14:textId="77777777" w:rsidR="00876853" w:rsidRDefault="008768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3C97" w14:textId="77777777" w:rsidR="00656D68" w:rsidRDefault="00656D68">
    <w:pPr>
      <w:ind w:left="0" w:firstLine="567"/>
      <w:rPr>
        <w:b/>
        <w:sz w:val="24"/>
        <w:szCs w:val="24"/>
      </w:rPr>
    </w:pPr>
  </w:p>
  <w:p w14:paraId="0C2B42A7" w14:textId="77777777" w:rsidR="00313B1A" w:rsidRDefault="00313B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EED1" w14:textId="680A8624" w:rsidR="00656D68" w:rsidRDefault="009429E1">
    <w:pPr>
      <w:ind w:left="0" w:firstLine="567"/>
      <w:jc w:val="center"/>
      <w:rPr>
        <w:color w:val="312459"/>
        <w:sz w:val="36"/>
        <w:szCs w:val="36"/>
      </w:rPr>
    </w:pPr>
    <w:r>
      <w:rPr>
        <w:noProof/>
        <w:lang w:val="en-US"/>
      </w:rPr>
      <w:drawing>
        <wp:anchor distT="0" distB="0" distL="114300" distR="114300" simplePos="0" relativeHeight="251660288" behindDoc="1" locked="0" layoutInCell="1" allowOverlap="1" wp14:anchorId="76C8FC0D" wp14:editId="10BEF4DA">
          <wp:simplePos x="0" y="0"/>
          <wp:positionH relativeFrom="column">
            <wp:posOffset>-641350</wp:posOffset>
          </wp:positionH>
          <wp:positionV relativeFrom="paragraph">
            <wp:posOffset>-170815</wp:posOffset>
          </wp:positionV>
          <wp:extent cx="1477010" cy="601980"/>
          <wp:effectExtent l="0" t="0" r="0" b="0"/>
          <wp:wrapTight wrapText="bothSides">
            <wp:wrapPolygon edited="0">
              <wp:start x="1857" y="0"/>
              <wp:lineTo x="0" y="1367"/>
              <wp:lineTo x="0" y="5924"/>
              <wp:lineTo x="1672" y="7291"/>
              <wp:lineTo x="186" y="14582"/>
              <wp:lineTo x="0" y="15038"/>
              <wp:lineTo x="0" y="19595"/>
              <wp:lineTo x="3529" y="20962"/>
              <wp:lineTo x="4457" y="20962"/>
              <wp:lineTo x="15972" y="20962"/>
              <wp:lineTo x="21173" y="19139"/>
              <wp:lineTo x="21359" y="12304"/>
              <wp:lineTo x="21359" y="10025"/>
              <wp:lineTo x="6686" y="7291"/>
              <wp:lineTo x="7058" y="3190"/>
              <wp:lineTo x="6129" y="1367"/>
              <wp:lineTo x="3157" y="0"/>
              <wp:lineTo x="1857"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010" cy="601980"/>
                  </a:xfrm>
                  <a:prstGeom prst="rect">
                    <a:avLst/>
                  </a:prstGeom>
                </pic:spPr>
              </pic:pic>
            </a:graphicData>
          </a:graphic>
          <wp14:sizeRelH relativeFrom="page">
            <wp14:pctWidth>0</wp14:pctWidth>
          </wp14:sizeRelH>
          <wp14:sizeRelV relativeFrom="page">
            <wp14:pctHeight>0</wp14:pctHeight>
          </wp14:sizeRelV>
        </wp:anchor>
      </w:drawing>
    </w:r>
    <w:r w:rsidR="00FA1904">
      <w:rPr>
        <w:noProof/>
        <w:lang w:val="en-US"/>
      </w:rPr>
      <w:drawing>
        <wp:inline distT="0" distB="0" distL="0" distR="0" wp14:anchorId="1D3C9081" wp14:editId="37805C9C">
          <wp:extent cx="1802370" cy="562970"/>
          <wp:effectExtent l="0" t="0" r="0" b="0"/>
          <wp:docPr id="2"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
                  <a:srcRect/>
                  <a:stretch>
                    <a:fillRect/>
                  </a:stretch>
                </pic:blipFill>
                <pic:spPr>
                  <a:xfrm>
                    <a:off x="0" y="0"/>
                    <a:ext cx="1802370" cy="562970"/>
                  </a:xfrm>
                  <a:prstGeom prst="rect">
                    <a:avLst/>
                  </a:prstGeom>
                  <a:ln/>
                </pic:spPr>
              </pic:pic>
            </a:graphicData>
          </a:graphic>
        </wp:inline>
      </w:drawing>
    </w:r>
  </w:p>
  <w:p w14:paraId="734AAF40" w14:textId="77777777" w:rsidR="00313B1A" w:rsidRDefault="00313B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E5A"/>
    <w:multiLevelType w:val="hybridMultilevel"/>
    <w:tmpl w:val="BD5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3A72"/>
    <w:multiLevelType w:val="hybridMultilevel"/>
    <w:tmpl w:val="6FE66D6E"/>
    <w:lvl w:ilvl="0" w:tplc="7A36E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52257"/>
    <w:multiLevelType w:val="hybridMultilevel"/>
    <w:tmpl w:val="5D9C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2767D"/>
    <w:multiLevelType w:val="hybridMultilevel"/>
    <w:tmpl w:val="D21E43E4"/>
    <w:lvl w:ilvl="0" w:tplc="8CECDDC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F963AE"/>
    <w:multiLevelType w:val="hybridMultilevel"/>
    <w:tmpl w:val="A2A6508E"/>
    <w:lvl w:ilvl="0" w:tplc="7A36E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6D68"/>
    <w:rsid w:val="00001267"/>
    <w:rsid w:val="000777DB"/>
    <w:rsid w:val="00086D4A"/>
    <w:rsid w:val="000A64FA"/>
    <w:rsid w:val="000F00B1"/>
    <w:rsid w:val="00117244"/>
    <w:rsid w:val="00190A09"/>
    <w:rsid w:val="001A163C"/>
    <w:rsid w:val="001F61E1"/>
    <w:rsid w:val="002E389C"/>
    <w:rsid w:val="00305167"/>
    <w:rsid w:val="00305887"/>
    <w:rsid w:val="00313B1A"/>
    <w:rsid w:val="003E48BE"/>
    <w:rsid w:val="00410291"/>
    <w:rsid w:val="00410749"/>
    <w:rsid w:val="004B14DC"/>
    <w:rsid w:val="00520B6E"/>
    <w:rsid w:val="00656D68"/>
    <w:rsid w:val="00661054"/>
    <w:rsid w:val="00696FE3"/>
    <w:rsid w:val="006B6A39"/>
    <w:rsid w:val="007139ED"/>
    <w:rsid w:val="007259EC"/>
    <w:rsid w:val="00747D0D"/>
    <w:rsid w:val="00765654"/>
    <w:rsid w:val="007D029B"/>
    <w:rsid w:val="0083496A"/>
    <w:rsid w:val="00876853"/>
    <w:rsid w:val="008E2F8A"/>
    <w:rsid w:val="008E57E0"/>
    <w:rsid w:val="009429E1"/>
    <w:rsid w:val="00A06A31"/>
    <w:rsid w:val="00A90D97"/>
    <w:rsid w:val="00AD2B65"/>
    <w:rsid w:val="00B160FD"/>
    <w:rsid w:val="00B97C63"/>
    <w:rsid w:val="00BB4E6C"/>
    <w:rsid w:val="00C327AA"/>
    <w:rsid w:val="00C4560E"/>
    <w:rsid w:val="00D56062"/>
    <w:rsid w:val="00D658BC"/>
    <w:rsid w:val="00DF65DE"/>
    <w:rsid w:val="00EA5010"/>
    <w:rsid w:val="00F007C7"/>
    <w:rsid w:val="00F016E8"/>
    <w:rsid w:val="00FA1904"/>
    <w:rsid w:val="00FE35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A607"/>
  <w15:docId w15:val="{610832F9-4952-0249-B3C1-51AD540D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en-US" w:bidi="ar-SA"/>
      </w:rPr>
    </w:rPrDefault>
    <w:pPrDefault>
      <w:pPr>
        <w:spacing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2F5496"/>
      <w:sz w:val="28"/>
      <w:szCs w:val="28"/>
    </w:rPr>
  </w:style>
  <w:style w:type="paragraph" w:styleId="Heading2">
    <w:name w:val="heading 2"/>
    <w:basedOn w:val="Normal"/>
    <w:next w:val="Normal"/>
    <w:pPr>
      <w:spacing w:line="480" w:lineRule="auto"/>
      <w:ind w:left="0"/>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sz w:val="56"/>
      <w:szCs w:val="56"/>
    </w:rPr>
  </w:style>
  <w:style w:type="paragraph" w:styleId="Subtitle">
    <w:name w:val="Subtitle"/>
    <w:basedOn w:val="Normal"/>
    <w:next w:val="Normal"/>
    <w:pPr>
      <w:spacing w:after="160"/>
      <w:ind w:left="2268"/>
    </w:pPr>
    <w:rPr>
      <w:color w:val="5A5A5A"/>
      <w:sz w:val="22"/>
      <w:szCs w:val="22"/>
    </w:rPr>
  </w:style>
  <w:style w:type="table" w:customStyle="1" w:styleId="a">
    <w:basedOn w:val="TableNormal1"/>
    <w:rPr>
      <w:sz w:val="22"/>
      <w:szCs w:val="22"/>
    </w:rPr>
    <w:tblPr>
      <w:tblStyleRowBandSize w:val="1"/>
      <w:tblStyleColBandSize w:val="1"/>
      <w:tblCellMar>
        <w:left w:w="108" w:type="dxa"/>
        <w:right w:w="108" w:type="dxa"/>
      </w:tblCellMar>
    </w:tblPr>
  </w:style>
  <w:style w:type="table" w:customStyle="1" w:styleId="a0">
    <w:basedOn w:val="TableNormal1"/>
    <w:rPr>
      <w:sz w:val="22"/>
      <w:szCs w:val="22"/>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2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291"/>
    <w:rPr>
      <w:rFonts w:ascii="Tahoma" w:hAnsi="Tahoma" w:cs="Tahoma"/>
      <w:sz w:val="16"/>
      <w:szCs w:val="16"/>
    </w:rPr>
  </w:style>
  <w:style w:type="paragraph" w:styleId="Header">
    <w:name w:val="header"/>
    <w:basedOn w:val="Normal"/>
    <w:link w:val="HeaderChar"/>
    <w:uiPriority w:val="99"/>
    <w:unhideWhenUsed/>
    <w:rsid w:val="00410291"/>
    <w:pPr>
      <w:tabs>
        <w:tab w:val="center" w:pos="4680"/>
        <w:tab w:val="right" w:pos="9360"/>
      </w:tabs>
      <w:spacing w:line="240" w:lineRule="auto"/>
    </w:pPr>
  </w:style>
  <w:style w:type="character" w:customStyle="1" w:styleId="HeaderChar">
    <w:name w:val="Header Char"/>
    <w:basedOn w:val="DefaultParagraphFont"/>
    <w:link w:val="Header"/>
    <w:uiPriority w:val="99"/>
    <w:rsid w:val="00410291"/>
  </w:style>
  <w:style w:type="paragraph" w:styleId="CommentSubject">
    <w:name w:val="annotation subject"/>
    <w:basedOn w:val="CommentText"/>
    <w:next w:val="CommentText"/>
    <w:link w:val="CommentSubjectChar"/>
    <w:uiPriority w:val="99"/>
    <w:semiHidden/>
    <w:unhideWhenUsed/>
    <w:rsid w:val="00B160FD"/>
    <w:rPr>
      <w:b/>
      <w:bCs/>
    </w:rPr>
  </w:style>
  <w:style w:type="character" w:customStyle="1" w:styleId="CommentSubjectChar">
    <w:name w:val="Comment Subject Char"/>
    <w:basedOn w:val="CommentTextChar"/>
    <w:link w:val="CommentSubject"/>
    <w:uiPriority w:val="99"/>
    <w:semiHidden/>
    <w:rsid w:val="00B160FD"/>
    <w:rPr>
      <w:b/>
      <w:bCs/>
      <w:sz w:val="20"/>
      <w:szCs w:val="20"/>
    </w:rPr>
  </w:style>
  <w:style w:type="paragraph" w:styleId="ListParagraph">
    <w:name w:val="List Paragraph"/>
    <w:basedOn w:val="Normal"/>
    <w:uiPriority w:val="34"/>
    <w:qFormat/>
    <w:rsid w:val="001A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A16B-E424-4291-9B75-DD274CDB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1588</Words>
  <Characters>9057</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Gargiulo</dc:creator>
  <cp:lastModifiedBy>Steven Benson</cp:lastModifiedBy>
  <cp:revision>29</cp:revision>
  <cp:lastPrinted>2020-05-27T10:21:00Z</cp:lastPrinted>
  <dcterms:created xsi:type="dcterms:W3CDTF">2020-05-31T08:31:00Z</dcterms:created>
  <dcterms:modified xsi:type="dcterms:W3CDTF">2021-01-10T10:15:00Z</dcterms:modified>
</cp:coreProperties>
</file>