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684E" w14:textId="77777777" w:rsidR="00656D68" w:rsidRDefault="00656D68">
      <w:pPr>
        <w:ind w:left="0" w:firstLine="567"/>
        <w:rPr>
          <w:b/>
          <w:color w:val="312459"/>
          <w:sz w:val="12"/>
          <w:szCs w:val="12"/>
        </w:rPr>
      </w:pPr>
    </w:p>
    <w:p w14:paraId="1ECF2F1C" w14:textId="75C97E75" w:rsidR="00656D68" w:rsidRDefault="005C3040">
      <w:pPr>
        <w:ind w:left="0" w:firstLine="567"/>
        <w:jc w:val="center"/>
        <w:rPr>
          <w:b/>
          <w:sz w:val="22"/>
          <w:szCs w:val="22"/>
        </w:rPr>
      </w:pPr>
      <w:r>
        <w:rPr>
          <w:b/>
          <w:color w:val="312459"/>
          <w:sz w:val="32"/>
          <w:szCs w:val="32"/>
        </w:rPr>
        <w:t xml:space="preserve">Know Your Counterparty (KYC) Policy </w:t>
      </w:r>
      <w:r>
        <w:rPr>
          <w:b/>
          <w:color w:val="312459"/>
          <w:sz w:val="32"/>
          <w:szCs w:val="32"/>
        </w:rPr>
        <w:br/>
        <w:t xml:space="preserve">&amp; </w:t>
      </w:r>
      <w:r w:rsidR="00FA1904">
        <w:rPr>
          <w:b/>
          <w:color w:val="312459"/>
          <w:sz w:val="32"/>
          <w:szCs w:val="32"/>
        </w:rPr>
        <w:t xml:space="preserve">Anti–Money </w:t>
      </w:r>
      <w:r>
        <w:rPr>
          <w:b/>
          <w:color w:val="312459"/>
          <w:sz w:val="32"/>
          <w:szCs w:val="32"/>
        </w:rPr>
        <w:t>Laundering (AML)</w:t>
      </w:r>
    </w:p>
    <w:p w14:paraId="0D4F168C" w14:textId="77777777" w:rsidR="00656D68" w:rsidRDefault="00FA1904">
      <w:pPr>
        <w:ind w:left="0" w:firstLine="567"/>
        <w:jc w:val="center"/>
        <w:rPr>
          <w:i/>
          <w:color w:val="808080"/>
          <w:sz w:val="24"/>
          <w:szCs w:val="24"/>
        </w:rPr>
      </w:pPr>
      <w:r w:rsidRPr="00410291">
        <w:rPr>
          <w:i/>
          <w:color w:val="808080"/>
          <w:sz w:val="24"/>
          <w:szCs w:val="24"/>
        </w:rPr>
        <w:t>Sample</w:t>
      </w:r>
      <w:r>
        <w:rPr>
          <w:i/>
          <w:color w:val="808080"/>
          <w:sz w:val="24"/>
          <w:szCs w:val="24"/>
        </w:rPr>
        <w:t xml:space="preserve"> Policy</w:t>
      </w:r>
    </w:p>
    <w:p w14:paraId="2E20B660" w14:textId="77777777" w:rsidR="00656D68" w:rsidRDefault="00656D68">
      <w:pPr>
        <w:ind w:left="0" w:firstLine="567"/>
        <w:jc w:val="center"/>
        <w:rPr>
          <w:sz w:val="22"/>
          <w:szCs w:val="22"/>
        </w:rPr>
      </w:pPr>
    </w:p>
    <w:tbl>
      <w:tblPr>
        <w:tblStyle w:val="a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56D68" w14:paraId="27BCC7BF" w14:textId="77777777">
        <w:tc>
          <w:tcPr>
            <w:tcW w:w="9288" w:type="dxa"/>
            <w:shd w:val="clear" w:color="auto" w:fill="E4D2F2"/>
          </w:tcPr>
          <w:p w14:paraId="38015F96" w14:textId="6571A68E" w:rsidR="00656D68" w:rsidRDefault="00FA1904" w:rsidP="00410291">
            <w:pPr>
              <w:ind w:left="0"/>
              <w:rPr>
                <w:i/>
              </w:rPr>
            </w:pPr>
            <w:r>
              <w:rPr>
                <w:b/>
              </w:rPr>
              <w:t>Instructions:</w:t>
            </w:r>
            <w:r>
              <w:rPr>
                <w:i/>
              </w:rPr>
              <w:t xml:space="preserve"> </w:t>
            </w:r>
            <w:r>
              <w:t xml:space="preserve">Below you can find a </w:t>
            </w:r>
            <w:r w:rsidR="00410291">
              <w:t>sample</w:t>
            </w:r>
            <w:r>
              <w:t xml:space="preserve"> Anti–Money Laundering (AML) </w:t>
            </w:r>
            <w:r w:rsidR="00255BB1">
              <w:t xml:space="preserve">and Know Your Counterparty (KYC) </w:t>
            </w:r>
            <w:r>
              <w:t xml:space="preserve">policy. If you decide to use it as a template for your own policy, fill it out with your own </w:t>
            </w:r>
            <w:r w:rsidR="002A069F">
              <w:t xml:space="preserve">business </w:t>
            </w:r>
            <w:r>
              <w:t xml:space="preserve">information and be sure to align the policy as much as possible with </w:t>
            </w:r>
            <w:r w:rsidR="00410291">
              <w:t>your</w:t>
            </w:r>
            <w:r>
              <w:t xml:space="preserve"> organisational structure and processes. </w:t>
            </w:r>
          </w:p>
        </w:tc>
      </w:tr>
    </w:tbl>
    <w:p w14:paraId="2C48565B" w14:textId="77777777" w:rsidR="00656D68" w:rsidRDefault="00656D68" w:rsidP="00492E97">
      <w:pPr>
        <w:ind w:left="0"/>
        <w:rPr>
          <w:color w:val="000000"/>
          <w:sz w:val="22"/>
          <w:szCs w:val="22"/>
        </w:rPr>
      </w:pPr>
    </w:p>
    <w:p w14:paraId="6E25AE15" w14:textId="77777777" w:rsidR="00656D68" w:rsidRDefault="00FA1904" w:rsidP="00381078">
      <w:pPr>
        <w:ind w:left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[NAME OF BUSINESS]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is committed to conducting business with integrity and in compliance with all applicable laws and regulations. </w:t>
      </w:r>
    </w:p>
    <w:p w14:paraId="1688DF4B" w14:textId="77777777" w:rsidR="00656D68" w:rsidRDefault="00656D68" w:rsidP="00381078">
      <w:pPr>
        <w:ind w:left="0"/>
        <w:jc w:val="both"/>
        <w:rPr>
          <w:color w:val="000000"/>
          <w:sz w:val="22"/>
          <w:szCs w:val="22"/>
        </w:rPr>
      </w:pPr>
    </w:p>
    <w:p w14:paraId="1BEAFC6B" w14:textId="1281D519" w:rsidR="00656D68" w:rsidRDefault="00FA1904" w:rsidP="00381078">
      <w:pPr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purpose of this </w:t>
      </w:r>
      <w:r>
        <w:rPr>
          <w:sz w:val="22"/>
          <w:szCs w:val="22"/>
        </w:rPr>
        <w:t>Anti–Money</w:t>
      </w:r>
      <w:r>
        <w:rPr>
          <w:color w:val="000000"/>
          <w:sz w:val="22"/>
          <w:szCs w:val="22"/>
        </w:rPr>
        <w:t xml:space="preserve"> Laundering (AML) Policy</w:t>
      </w:r>
      <w:r w:rsidR="00D954DF">
        <w:rPr>
          <w:color w:val="000000"/>
          <w:sz w:val="22"/>
          <w:szCs w:val="22"/>
        </w:rPr>
        <w:t>, in particular,</w:t>
      </w:r>
      <w:r>
        <w:rPr>
          <w:color w:val="000000"/>
          <w:sz w:val="22"/>
          <w:szCs w:val="22"/>
        </w:rPr>
        <w:t xml:space="preserve"> is to further declare our commitment to taking action to prevent, mitigate, and manage risks of being involuntarily implicated in money laundering, terrorism financing, and other similar criminal activities.</w:t>
      </w:r>
    </w:p>
    <w:p w14:paraId="20E242E1" w14:textId="77777777" w:rsidR="00656D68" w:rsidRDefault="00656D68" w:rsidP="00381078">
      <w:pPr>
        <w:ind w:left="0" w:firstLine="567"/>
        <w:jc w:val="both"/>
        <w:rPr>
          <w:color w:val="000000"/>
          <w:sz w:val="22"/>
          <w:szCs w:val="22"/>
        </w:rPr>
      </w:pPr>
    </w:p>
    <w:p w14:paraId="3537263F" w14:textId="3679BEA2" w:rsidR="006E6BA9" w:rsidRDefault="00FA1904" w:rsidP="00381078">
      <w:pPr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Aware of the fact that money laundering and terroris</w:t>
      </w:r>
      <w:r w:rsidR="006E6BA9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financing are a particular concern in the gemstones and jewellery industry, </w:t>
      </w:r>
      <w:r>
        <w:rPr>
          <w:b/>
          <w:sz w:val="22"/>
          <w:szCs w:val="22"/>
        </w:rPr>
        <w:t>[NAME OF BUSINESS]</w:t>
      </w:r>
      <w:r>
        <w:rPr>
          <w:sz w:val="22"/>
          <w:szCs w:val="22"/>
        </w:rPr>
        <w:t xml:space="preserve"> implements </w:t>
      </w:r>
      <w:r>
        <w:rPr>
          <w:color w:val="000000"/>
          <w:sz w:val="22"/>
          <w:szCs w:val="22"/>
        </w:rPr>
        <w:t xml:space="preserve">an AML system, </w:t>
      </w:r>
      <w:r>
        <w:rPr>
          <w:sz w:val="22"/>
          <w:szCs w:val="22"/>
        </w:rPr>
        <w:t xml:space="preserve">reflected in our </w:t>
      </w:r>
      <w:r>
        <w:rPr>
          <w:b/>
          <w:sz w:val="22"/>
          <w:szCs w:val="22"/>
        </w:rPr>
        <w:t>[AML and KYC Procedure]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which provides a framework for </w:t>
      </w:r>
      <w:r w:rsidR="006E6BA9">
        <w:rPr>
          <w:sz w:val="22"/>
          <w:szCs w:val="22"/>
        </w:rPr>
        <w:t xml:space="preserve">our </w:t>
      </w:r>
      <w:r>
        <w:rPr>
          <w:sz w:val="22"/>
          <w:szCs w:val="22"/>
        </w:rPr>
        <w:t>fight against money laundering</w:t>
      </w:r>
      <w:r w:rsidR="00410291">
        <w:rPr>
          <w:sz w:val="22"/>
          <w:szCs w:val="22"/>
        </w:rPr>
        <w:t xml:space="preserve"> and </w:t>
      </w:r>
      <w:r>
        <w:rPr>
          <w:sz w:val="22"/>
          <w:szCs w:val="22"/>
        </w:rPr>
        <w:t>terrorism financing</w:t>
      </w:r>
      <w:r w:rsidR="006E6BA9">
        <w:rPr>
          <w:sz w:val="22"/>
          <w:szCs w:val="22"/>
        </w:rPr>
        <w:t xml:space="preserve"> within our business and along our value chain</w:t>
      </w:r>
      <w:r>
        <w:rPr>
          <w:sz w:val="22"/>
          <w:szCs w:val="22"/>
        </w:rPr>
        <w:t>.</w:t>
      </w:r>
      <w:r w:rsidR="006E6BA9" w:rsidRPr="006E6BA9">
        <w:rPr>
          <w:sz w:val="22"/>
          <w:szCs w:val="22"/>
        </w:rPr>
        <w:t xml:space="preserve"> </w:t>
      </w:r>
    </w:p>
    <w:p w14:paraId="18EEFC63" w14:textId="77777777" w:rsidR="006E6BA9" w:rsidRDefault="006E6BA9" w:rsidP="00381078">
      <w:pPr>
        <w:ind w:left="0"/>
        <w:jc w:val="both"/>
        <w:rPr>
          <w:sz w:val="22"/>
          <w:szCs w:val="22"/>
        </w:rPr>
      </w:pPr>
    </w:p>
    <w:p w14:paraId="232C7972" w14:textId="7DCA3496" w:rsidR="00656D68" w:rsidRDefault="006E6BA9" w:rsidP="00381078">
      <w:pPr>
        <w:ind w:left="0"/>
        <w:jc w:val="both"/>
        <w:rPr>
          <w:sz w:val="22"/>
          <w:szCs w:val="22"/>
        </w:rPr>
      </w:pPr>
      <w:r w:rsidRPr="009E2E2D">
        <w:rPr>
          <w:sz w:val="22"/>
          <w:szCs w:val="22"/>
        </w:rPr>
        <w:t xml:space="preserve">It is the policy of </w:t>
      </w:r>
      <w:r w:rsidR="002A069F">
        <w:rPr>
          <w:b/>
          <w:sz w:val="22"/>
          <w:szCs w:val="22"/>
        </w:rPr>
        <w:t xml:space="preserve">[NAME OF BUSINESS] </w:t>
      </w:r>
      <w:r w:rsidRPr="009E2E2D">
        <w:rPr>
          <w:sz w:val="22"/>
          <w:szCs w:val="22"/>
        </w:rPr>
        <w:t xml:space="preserve">to prohibit and actively prevent money laundering and any activity that facilitates money laundering or the funding of terrorist or criminal activities by complying with all applicable requirements under the </w:t>
      </w:r>
      <w:r w:rsidRPr="009E2E2D">
        <w:rPr>
          <w:rFonts w:ascii="Calibri Light" w:hAnsi="Calibri Light" w:cs="Calibri Light"/>
          <w:b/>
          <w:bCs/>
          <w:sz w:val="22"/>
          <w:szCs w:val="22"/>
        </w:rPr>
        <w:t>[INSERT APPROPRIATE REGULATION</w:t>
      </w:r>
      <w:r w:rsidRPr="009E2E2D">
        <w:rPr>
          <w:sz w:val="22"/>
          <w:szCs w:val="22"/>
        </w:rPr>
        <w:t xml:space="preserve"> - </w:t>
      </w:r>
      <w:r w:rsidRPr="009E2E2D">
        <w:rPr>
          <w:b/>
          <w:i/>
          <w:sz w:val="22"/>
          <w:szCs w:val="22"/>
        </w:rPr>
        <w:t>e.g. UK Money Laundering Regulations 2017</w:t>
      </w:r>
      <w:r w:rsidRPr="009E2E2D">
        <w:rPr>
          <w:b/>
          <w:sz w:val="22"/>
          <w:szCs w:val="22"/>
        </w:rPr>
        <w:t>]</w:t>
      </w:r>
      <w:r w:rsidRPr="009E2E2D">
        <w:rPr>
          <w:sz w:val="22"/>
          <w:szCs w:val="22"/>
        </w:rPr>
        <w:t xml:space="preserve"> and its implementing regulations.</w:t>
      </w:r>
    </w:p>
    <w:p w14:paraId="460627D5" w14:textId="7532DF0E" w:rsidR="00E42A72" w:rsidRDefault="00E42A72" w:rsidP="00381078">
      <w:pPr>
        <w:ind w:left="0"/>
        <w:jc w:val="both"/>
        <w:rPr>
          <w:sz w:val="22"/>
          <w:szCs w:val="22"/>
        </w:rPr>
      </w:pPr>
    </w:p>
    <w:p w14:paraId="4D4FD7E7" w14:textId="76330F50" w:rsidR="00492E97" w:rsidRPr="009E2E2D" w:rsidRDefault="009E2E2D" w:rsidP="0038107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42A72" w:rsidRPr="009E2E2D">
        <w:rPr>
          <w:sz w:val="22"/>
          <w:szCs w:val="22"/>
        </w:rPr>
        <w:t>e conduct Know Your Counterparty (KYC) checks</w:t>
      </w:r>
      <w:r>
        <w:rPr>
          <w:sz w:val="22"/>
          <w:szCs w:val="22"/>
        </w:rPr>
        <w:t xml:space="preserve"> on all of our business partners</w:t>
      </w:r>
      <w:r w:rsidR="00E42A72" w:rsidRPr="009E2E2D">
        <w:rPr>
          <w:sz w:val="22"/>
          <w:szCs w:val="22"/>
        </w:rPr>
        <w:t xml:space="preserve">, and we maintain records of all our transactions to avoid working with businesses or individuals who are involved in the illicit movement of money. </w:t>
      </w:r>
    </w:p>
    <w:p w14:paraId="7C3BDDBB" w14:textId="77777777" w:rsidR="00656D68" w:rsidRDefault="00656D68" w:rsidP="00381078">
      <w:pPr>
        <w:ind w:left="0"/>
        <w:jc w:val="both"/>
        <w:rPr>
          <w:sz w:val="22"/>
          <w:szCs w:val="22"/>
        </w:rPr>
      </w:pPr>
    </w:p>
    <w:p w14:paraId="15C35A01" w14:textId="77777777" w:rsidR="006E6BA9" w:rsidRDefault="00FA1904" w:rsidP="00381078">
      <w:pPr>
        <w:ind w:left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[NAME OF BUSINESS] </w:t>
      </w:r>
      <w:r>
        <w:rPr>
          <w:sz w:val="22"/>
          <w:szCs w:val="22"/>
        </w:rPr>
        <w:t xml:space="preserve">requires executives, management and employees to be familiar with their legal responsibilities and adhere to this Policy and related procedures. </w:t>
      </w:r>
      <w:r>
        <w:rPr>
          <w:color w:val="000000"/>
          <w:sz w:val="22"/>
          <w:szCs w:val="22"/>
        </w:rPr>
        <w:t>Violations of anti–money laundering and terrorism financing laws can lead to severe legal penalties.</w:t>
      </w:r>
      <w:r w:rsidR="006E6BA9" w:rsidRPr="006E6BA9">
        <w:rPr>
          <w:color w:val="000000"/>
          <w:sz w:val="22"/>
          <w:szCs w:val="22"/>
        </w:rPr>
        <w:t xml:space="preserve"> </w:t>
      </w:r>
    </w:p>
    <w:p w14:paraId="4EAD7416" w14:textId="77777777" w:rsidR="006E6BA9" w:rsidRDefault="006E6BA9" w:rsidP="00381078">
      <w:pPr>
        <w:ind w:left="0"/>
        <w:jc w:val="both"/>
        <w:rPr>
          <w:color w:val="000000"/>
          <w:sz w:val="22"/>
          <w:szCs w:val="22"/>
        </w:rPr>
      </w:pPr>
    </w:p>
    <w:p w14:paraId="1FB64E8A" w14:textId="23551119" w:rsidR="00656D68" w:rsidRDefault="006E6BA9" w:rsidP="00381078">
      <w:pPr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policy </w:t>
      </w:r>
      <w:r w:rsidRPr="009E2E2D">
        <w:rPr>
          <w:color w:val="000000"/>
          <w:sz w:val="22"/>
          <w:szCs w:val="22"/>
        </w:rPr>
        <w:t>will be reviewed and updated on a regular basis to account for both changes in regulations and changes in our business.</w:t>
      </w:r>
    </w:p>
    <w:p w14:paraId="2FEFC47F" w14:textId="77777777" w:rsidR="00656D68" w:rsidRDefault="00656D68" w:rsidP="00381078">
      <w:pPr>
        <w:ind w:left="0" w:firstLine="567"/>
        <w:jc w:val="both"/>
        <w:rPr>
          <w:i/>
          <w:sz w:val="20"/>
          <w:szCs w:val="20"/>
        </w:rPr>
      </w:pPr>
    </w:p>
    <w:p w14:paraId="1C52171A" w14:textId="77777777" w:rsidR="00656D68" w:rsidRDefault="00FA1904" w:rsidP="0038107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</w:p>
    <w:p w14:paraId="7ACB8FF9" w14:textId="0E3B45A0" w:rsidR="00656D68" w:rsidRDefault="00FA1904" w:rsidP="0038107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Signature:</w:t>
      </w:r>
    </w:p>
    <w:p w14:paraId="6E5F42C2" w14:textId="77777777" w:rsidR="00656D68" w:rsidRDefault="00656D68" w:rsidP="00381078">
      <w:pPr>
        <w:ind w:left="0" w:firstLine="567"/>
        <w:jc w:val="both"/>
        <w:rPr>
          <w:sz w:val="22"/>
          <w:szCs w:val="22"/>
        </w:rPr>
      </w:pPr>
    </w:p>
    <w:tbl>
      <w:tblPr>
        <w:tblStyle w:val="a0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56D68" w:rsidRPr="002A069F" w14:paraId="70615AD2" w14:textId="77777777">
        <w:tc>
          <w:tcPr>
            <w:tcW w:w="9288" w:type="dxa"/>
            <w:shd w:val="clear" w:color="auto" w:fill="E4D2F2"/>
          </w:tcPr>
          <w:p w14:paraId="5790FDB1" w14:textId="779319E0" w:rsidR="00656D68" w:rsidRPr="0010666C" w:rsidRDefault="00FA1904" w:rsidP="00381078">
            <w:pPr>
              <w:ind w:left="0"/>
              <w:jc w:val="both"/>
              <w:rPr>
                <w:iCs/>
              </w:rPr>
            </w:pPr>
            <w:r w:rsidRPr="0010666C">
              <w:rPr>
                <w:b/>
                <w:iCs/>
              </w:rPr>
              <w:t>DISCLAIMER:</w:t>
            </w:r>
            <w:r w:rsidRPr="0010666C">
              <w:rPr>
                <w:iCs/>
              </w:rPr>
              <w:t xml:space="preserve"> The information provided in this document is intended only to provide general guidance. It is not intended as a customized recommendation, nor does it constitute legal advice. TDI </w:t>
            </w:r>
            <w:r w:rsidRPr="0010666C">
              <w:rPr>
                <w:iCs/>
              </w:rPr>
              <w:lastRenderedPageBreak/>
              <w:t xml:space="preserve">Sustainability and other associated or affiliated individuals assume no liability on the basis of the information provided in this document. The document can only be used for non-commercial purposes. It is the responsibility of </w:t>
            </w:r>
            <w:r w:rsidR="000A638E">
              <w:rPr>
                <w:iCs/>
              </w:rPr>
              <w:t>businesse</w:t>
            </w:r>
            <w:r w:rsidRPr="0010666C">
              <w:rPr>
                <w:iCs/>
              </w:rPr>
              <w:t>s when following this guidance to ensure that they are compliant with all applicable laws and regulations.</w:t>
            </w:r>
          </w:p>
        </w:tc>
      </w:tr>
    </w:tbl>
    <w:p w14:paraId="61E61D3A" w14:textId="77777777" w:rsidR="00656D68" w:rsidRDefault="00656D68" w:rsidP="00381078">
      <w:pPr>
        <w:ind w:left="0"/>
        <w:jc w:val="both"/>
        <w:rPr>
          <w:i/>
          <w:sz w:val="20"/>
          <w:szCs w:val="20"/>
        </w:rPr>
      </w:pPr>
    </w:p>
    <w:sectPr w:rsidR="00656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82" w:right="1388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DD7B" w14:textId="77777777" w:rsidR="00BD686D" w:rsidRDefault="00BD686D">
      <w:pPr>
        <w:spacing w:line="240" w:lineRule="auto"/>
      </w:pPr>
      <w:r>
        <w:separator/>
      </w:r>
    </w:p>
  </w:endnote>
  <w:endnote w:type="continuationSeparator" w:id="0">
    <w:p w14:paraId="593ED6A8" w14:textId="77777777" w:rsidR="00BD686D" w:rsidRDefault="00BD6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ED52" w14:textId="77777777" w:rsidR="00656D68" w:rsidRDefault="00FA19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1E5F65" w14:textId="77777777" w:rsidR="00656D68" w:rsidRDefault="00656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  <w:p w14:paraId="743E823A" w14:textId="77777777" w:rsidR="00656D68" w:rsidRDefault="00656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FADF" w14:textId="0545E8C9" w:rsidR="00656D68" w:rsidRDefault="009B0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FA1904">
      <w:rPr>
        <w:color w:val="000000"/>
      </w:rPr>
      <w:fldChar w:fldCharType="begin"/>
    </w:r>
    <w:r w:rsidR="00FA1904">
      <w:rPr>
        <w:color w:val="000000"/>
      </w:rPr>
      <w:instrText>PAGE</w:instrText>
    </w:r>
    <w:r w:rsidR="00FA1904">
      <w:rPr>
        <w:color w:val="000000"/>
      </w:rPr>
      <w:fldChar w:fldCharType="separate"/>
    </w:r>
    <w:r w:rsidR="00E42A72">
      <w:rPr>
        <w:noProof/>
        <w:color w:val="000000"/>
      </w:rPr>
      <w:t>2</w:t>
    </w:r>
    <w:r w:rsidR="00FA1904">
      <w:rPr>
        <w:color w:val="000000"/>
      </w:rPr>
      <w:fldChar w:fldCharType="end"/>
    </w:r>
  </w:p>
  <w:p w14:paraId="62E1004C" w14:textId="77777777" w:rsidR="00656D68" w:rsidRDefault="00656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  <w:p w14:paraId="6CD541CB" w14:textId="77777777" w:rsidR="00656D68" w:rsidRDefault="00FA19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036F2CB5" wp14:editId="5B12D67F">
          <wp:simplePos x="0" y="0"/>
          <wp:positionH relativeFrom="column">
            <wp:posOffset>5901690</wp:posOffset>
          </wp:positionH>
          <wp:positionV relativeFrom="paragraph">
            <wp:posOffset>142028</wp:posOffset>
          </wp:positionV>
          <wp:extent cx="482600" cy="488315"/>
          <wp:effectExtent l="0" t="0" r="0" b="0"/>
          <wp:wrapSquare wrapText="bothSides" distT="0" distB="0" distL="0" distR="0"/>
          <wp:docPr id="1" name="image1.png" descr="A picture containing chain, neckl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hain, neckl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00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49EEF3" w14:textId="77777777" w:rsidR="00656D68" w:rsidRDefault="00FA19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  <w:t>Created by TDI Sustainability for the Gemstones and Jewellery Community Platform</w:t>
    </w:r>
  </w:p>
  <w:p w14:paraId="4B60B0D3" w14:textId="77777777" w:rsidR="00656D68" w:rsidRDefault="00FA19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www.gemstone-and-jewellery.com   |   www.tdi-sustainability.com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60170" w14:textId="77777777" w:rsidR="00656D68" w:rsidRDefault="00FA19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6D4A">
      <w:rPr>
        <w:noProof/>
        <w:color w:val="000000"/>
      </w:rPr>
      <w:t>1</w:t>
    </w:r>
    <w:r>
      <w:rPr>
        <w:color w:val="000000"/>
      </w:rPr>
      <w:fldChar w:fldCharType="end"/>
    </w:r>
  </w:p>
  <w:p w14:paraId="3B71E261" w14:textId="77777777" w:rsidR="00656D68" w:rsidRDefault="00656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  <w:p w14:paraId="1B068207" w14:textId="77777777" w:rsidR="00656D68" w:rsidRDefault="00FA19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/>
      <w:rPr>
        <w:i/>
        <w:color w:val="000000"/>
        <w:sz w:val="20"/>
        <w:szCs w:val="20"/>
      </w:rPr>
    </w:pPr>
    <w:r>
      <w:rPr>
        <w:color w:val="000000"/>
      </w:rPr>
      <w:tab/>
    </w:r>
    <w:r>
      <w:rPr>
        <w:i/>
        <w:color w:val="000000"/>
        <w:sz w:val="20"/>
        <w:szCs w:val="20"/>
      </w:rPr>
      <w:t>Created by TDI Sustainability for the Gemstones and Jewellery Community Platform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20FCC393" wp14:editId="1BE79567">
          <wp:simplePos x="0" y="0"/>
          <wp:positionH relativeFrom="column">
            <wp:posOffset>5855335</wp:posOffset>
          </wp:positionH>
          <wp:positionV relativeFrom="paragraph">
            <wp:posOffset>93345</wp:posOffset>
          </wp:positionV>
          <wp:extent cx="482600" cy="488787"/>
          <wp:effectExtent l="0" t="0" r="0" b="0"/>
          <wp:wrapSquare wrapText="bothSides" distT="0" distB="0" distL="0" distR="0"/>
          <wp:docPr id="3" name="image1.png" descr="A picture containing chain, neckl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hain, neckl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00" cy="4887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B70867" w14:textId="77777777" w:rsidR="00656D68" w:rsidRDefault="00FA19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www.gemstones-and-jewellery.com   |   www.tdi-sustainability.com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1964" w14:textId="77777777" w:rsidR="00BD686D" w:rsidRDefault="00BD686D">
      <w:pPr>
        <w:spacing w:line="240" w:lineRule="auto"/>
      </w:pPr>
      <w:r>
        <w:separator/>
      </w:r>
    </w:p>
  </w:footnote>
  <w:footnote w:type="continuationSeparator" w:id="0">
    <w:p w14:paraId="4C76C8C3" w14:textId="77777777" w:rsidR="00BD686D" w:rsidRDefault="00BD6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489D" w14:textId="77777777" w:rsidR="009B0E89" w:rsidRDefault="009B0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9FD9" w14:textId="77777777" w:rsidR="00656D68" w:rsidRDefault="00656D68">
    <w:pPr>
      <w:ind w:left="0" w:firstLine="567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89FC" w14:textId="15AFA59F" w:rsidR="00656D68" w:rsidRDefault="00716481">
    <w:pPr>
      <w:ind w:left="0" w:firstLine="567"/>
      <w:jc w:val="center"/>
      <w:rPr>
        <w:color w:val="312459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E71934A" wp14:editId="7046660B">
          <wp:simplePos x="0" y="0"/>
          <wp:positionH relativeFrom="column">
            <wp:posOffset>-580282</wp:posOffset>
          </wp:positionH>
          <wp:positionV relativeFrom="paragraph">
            <wp:posOffset>-237846</wp:posOffset>
          </wp:positionV>
          <wp:extent cx="1380216" cy="562610"/>
          <wp:effectExtent l="0" t="0" r="4445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6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904">
      <w:rPr>
        <w:noProof/>
        <w:lang w:val="en-US"/>
      </w:rPr>
      <w:drawing>
        <wp:inline distT="0" distB="0" distL="0" distR="0" wp14:anchorId="7CBBAF8F" wp14:editId="474AF098">
          <wp:extent cx="1802370" cy="562970"/>
          <wp:effectExtent l="0" t="0" r="0" b="0"/>
          <wp:docPr id="2" name="image2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370" cy="562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68"/>
    <w:rsid w:val="00086D4A"/>
    <w:rsid w:val="000A638E"/>
    <w:rsid w:val="0010666C"/>
    <w:rsid w:val="00255BB1"/>
    <w:rsid w:val="002A069F"/>
    <w:rsid w:val="003551AF"/>
    <w:rsid w:val="00381078"/>
    <w:rsid w:val="00410291"/>
    <w:rsid w:val="00492E97"/>
    <w:rsid w:val="004C5E5A"/>
    <w:rsid w:val="005430E9"/>
    <w:rsid w:val="005C3040"/>
    <w:rsid w:val="005F5806"/>
    <w:rsid w:val="00656D68"/>
    <w:rsid w:val="006B6A39"/>
    <w:rsid w:val="006E6BA9"/>
    <w:rsid w:val="00716481"/>
    <w:rsid w:val="007C4FE1"/>
    <w:rsid w:val="00810D8F"/>
    <w:rsid w:val="009B0E89"/>
    <w:rsid w:val="009E2E2D"/>
    <w:rsid w:val="009E2F4F"/>
    <w:rsid w:val="00A8047B"/>
    <w:rsid w:val="00B4723D"/>
    <w:rsid w:val="00BD686D"/>
    <w:rsid w:val="00D954DF"/>
    <w:rsid w:val="00E42A72"/>
    <w:rsid w:val="00E6508A"/>
    <w:rsid w:val="00F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A465"/>
  <w15:docId w15:val="{93ADECAE-0741-B349-AE8D-5CF03AE7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1"/>
        <w:szCs w:val="21"/>
        <w:lang w:val="en-GB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pPr>
      <w:spacing w:line="480" w:lineRule="auto"/>
      <w:ind w:left="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  <w:ind w:left="2268"/>
    </w:pPr>
    <w:rPr>
      <w:color w:val="5A5A5A"/>
      <w:sz w:val="22"/>
      <w:szCs w:val="22"/>
    </w:rPr>
  </w:style>
  <w:style w:type="table" w:customStyle="1" w:styleId="a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2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E531-DD7F-4987-9963-E7D4903E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Gargiulo</dc:creator>
  <cp:lastModifiedBy>Steven Benson</cp:lastModifiedBy>
  <cp:revision>7</cp:revision>
  <cp:lastPrinted>2020-05-27T10:21:00Z</cp:lastPrinted>
  <dcterms:created xsi:type="dcterms:W3CDTF">2020-07-13T04:45:00Z</dcterms:created>
  <dcterms:modified xsi:type="dcterms:W3CDTF">2021-01-10T11:04:00Z</dcterms:modified>
</cp:coreProperties>
</file>